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spacing w:after="60"/>
        <w:rPr>
          <w:rFonts w:hint="default" w:eastAsia="宋体"/>
          <w:szCs w:val="24"/>
          <w:highlight w:val="yellow"/>
          <w:lang w:val="en-US" w:eastAsia="zh-CN"/>
        </w:rPr>
      </w:pPr>
      <w:bookmarkStart w:id="0" w:name="_Hlk52187106"/>
      <w:r>
        <w:rPr>
          <w:szCs w:val="24"/>
        </w:rPr>
        <w:t>3GPP TSG-RAN WG1 Meeting #10</w:t>
      </w:r>
      <w:r>
        <w:rPr>
          <w:rFonts w:hint="eastAsia" w:eastAsia="宋体"/>
          <w:szCs w:val="24"/>
        </w:rPr>
        <w:t>4</w:t>
      </w:r>
      <w:r>
        <w:rPr>
          <w:szCs w:val="24"/>
        </w:rPr>
        <w:t>-e</w:t>
      </w:r>
      <w:r>
        <w:rPr>
          <w:szCs w:val="24"/>
        </w:rPr>
        <w:tab/>
      </w:r>
      <w:r>
        <w:rPr>
          <w:szCs w:val="24"/>
        </w:rPr>
        <w:t>R1-2</w:t>
      </w:r>
      <w:r>
        <w:rPr>
          <w:rFonts w:hint="eastAsia" w:eastAsia="宋体"/>
          <w:szCs w:val="24"/>
        </w:rPr>
        <w:t>10</w:t>
      </w:r>
      <w:r>
        <w:rPr>
          <w:rFonts w:hint="eastAsia" w:eastAsia="宋体"/>
          <w:szCs w:val="24"/>
          <w:lang w:val="en-US" w:eastAsia="zh-CN"/>
        </w:rPr>
        <w:t>1820</w:t>
      </w:r>
    </w:p>
    <w:p>
      <w:pPr>
        <w:pStyle w:val="76"/>
        <w:snapToGrid w:val="0"/>
        <w:spacing w:after="120" w:afterLines="50"/>
        <w:rPr>
          <w:rFonts w:eastAsia="宋体"/>
        </w:rPr>
      </w:pPr>
      <w:r>
        <w:t xml:space="preserve">e-Meeting, </w:t>
      </w:r>
      <w:r>
        <w:rPr>
          <w:rFonts w:hint="eastAsia" w:eastAsia="宋体" w:cs="Arial"/>
          <w:bCs/>
          <w:sz w:val="22"/>
          <w:szCs w:val="22"/>
        </w:rPr>
        <w:t>January 25</w:t>
      </w:r>
      <w:r>
        <w:rPr>
          <w:rFonts w:eastAsia="宋体" w:cs="Arial"/>
          <w:bCs/>
          <w:sz w:val="22"/>
          <w:szCs w:val="22"/>
          <w:vertAlign w:val="superscript"/>
        </w:rPr>
        <w:t>th</w:t>
      </w:r>
      <w:r>
        <w:rPr>
          <w:rFonts w:eastAsia="宋体" w:cs="Arial"/>
          <w:bCs/>
          <w:sz w:val="22"/>
          <w:szCs w:val="22"/>
        </w:rPr>
        <w:t xml:space="preserve"> -</w:t>
      </w:r>
      <w:r>
        <w:rPr>
          <w:rFonts w:hint="eastAsia" w:eastAsia="宋体" w:cs="Arial"/>
          <w:bCs/>
          <w:sz w:val="22"/>
          <w:szCs w:val="22"/>
        </w:rPr>
        <w:t xml:space="preserve"> February</w:t>
      </w:r>
      <w:r>
        <w:rPr>
          <w:rFonts w:eastAsia="宋体" w:cs="Arial"/>
          <w:bCs/>
          <w:sz w:val="22"/>
          <w:szCs w:val="22"/>
        </w:rPr>
        <w:t xml:space="preserve"> </w:t>
      </w:r>
      <w:r>
        <w:rPr>
          <w:rFonts w:hint="eastAsia" w:eastAsia="宋体" w:cs="Arial"/>
          <w:bCs/>
          <w:sz w:val="22"/>
          <w:szCs w:val="22"/>
        </w:rPr>
        <w:t>5</w:t>
      </w:r>
      <w:r>
        <w:rPr>
          <w:rFonts w:eastAsia="宋体" w:cs="Arial"/>
          <w:bCs/>
          <w:sz w:val="22"/>
          <w:szCs w:val="22"/>
          <w:vertAlign w:val="superscript"/>
        </w:rPr>
        <w:t>th</w:t>
      </w:r>
      <w:r>
        <w:rPr>
          <w:rFonts w:eastAsia="宋体" w:cs="Arial"/>
          <w:sz w:val="22"/>
          <w:szCs w:val="22"/>
        </w:rPr>
        <w:t>,</w:t>
      </w:r>
      <w:r>
        <w:rPr>
          <w:rFonts w:eastAsia="宋体" w:cs="Arial"/>
          <w:sz w:val="22"/>
          <w:szCs w:val="22"/>
          <w:lang w:val="sv-SE"/>
        </w:rPr>
        <w:t xml:space="preserve"> 20</w:t>
      </w:r>
      <w:r>
        <w:rPr>
          <w:rFonts w:hint="eastAsia" w:eastAsia="宋体" w:cs="Arial"/>
          <w:sz w:val="22"/>
          <w:szCs w:val="22"/>
        </w:rPr>
        <w:t>21</w:t>
      </w:r>
    </w:p>
    <w:bookmarkEnd w:id="0"/>
    <w:p>
      <w:pPr>
        <w:pStyle w:val="76"/>
        <w:snapToGrid w:val="0"/>
        <w:spacing w:after="120" w:afterLines="50"/>
        <w:rPr>
          <w:rFonts w:eastAsia="宋体"/>
          <w:sz w:val="22"/>
        </w:rPr>
      </w:pPr>
      <w:r>
        <w:rPr>
          <w:sz w:val="22"/>
        </w:rPr>
        <w:t>Agenda Item:</w:t>
      </w:r>
      <w:r>
        <w:rPr>
          <w:sz w:val="22"/>
        </w:rPr>
        <w:tab/>
      </w:r>
      <w:r>
        <w:rPr>
          <w:sz w:val="22"/>
        </w:rPr>
        <w:t>8.2.</w:t>
      </w:r>
      <w:r>
        <w:rPr>
          <w:rFonts w:hint="eastAsia" w:eastAsia="宋体"/>
          <w:sz w:val="22"/>
        </w:rPr>
        <w:t>7</w:t>
      </w:r>
    </w:p>
    <w:p>
      <w:pPr>
        <w:pStyle w:val="76"/>
        <w:snapToGrid w:val="0"/>
        <w:spacing w:after="120" w:afterLines="50"/>
        <w:rPr>
          <w:rFonts w:eastAsia="宋体"/>
          <w:sz w:val="22"/>
        </w:rPr>
      </w:pPr>
      <w:r>
        <w:rPr>
          <w:sz w:val="22"/>
        </w:rPr>
        <w:t>Source:</w:t>
      </w:r>
      <w:r>
        <w:rPr>
          <w:sz w:val="22"/>
        </w:rPr>
        <w:tab/>
      </w:r>
      <w:r>
        <w:rPr>
          <w:rFonts w:hint="eastAsia" w:eastAsia="宋体"/>
          <w:sz w:val="22"/>
        </w:rPr>
        <w:t>ZTE, Sanechips</w:t>
      </w:r>
    </w:p>
    <w:p>
      <w:pPr>
        <w:pStyle w:val="76"/>
        <w:snapToGrid w:val="0"/>
        <w:spacing w:after="120" w:afterLines="50"/>
        <w:rPr>
          <w:rFonts w:eastAsia="宋体"/>
          <w:sz w:val="22"/>
        </w:rPr>
      </w:pPr>
      <w:r>
        <w:rPr>
          <w:sz w:val="22"/>
        </w:rPr>
        <w:t>Title:</w:t>
      </w:r>
      <w:r>
        <w:rPr>
          <w:sz w:val="22"/>
        </w:rPr>
        <w:tab/>
      </w:r>
      <w:r>
        <w:rPr>
          <w:rFonts w:hint="eastAsia"/>
          <w:sz w:val="22"/>
        </w:rPr>
        <w:t>Evaluation results for 52.6 to 71GHz</w:t>
      </w:r>
    </w:p>
    <w:p>
      <w:pPr>
        <w:pStyle w:val="76"/>
        <w:snapToGrid w:val="0"/>
        <w:spacing w:after="120" w:afterLines="50"/>
        <w:rPr>
          <w:sz w:val="22"/>
        </w:rPr>
      </w:pPr>
      <w:r>
        <w:rPr>
          <w:sz w:val="22"/>
        </w:rPr>
        <w:t>Document for:</w:t>
      </w:r>
      <w:r>
        <w:rPr>
          <w:sz w:val="22"/>
        </w:rPr>
        <w:tab/>
      </w:r>
      <w:r>
        <w:rPr>
          <w:sz w:val="22"/>
        </w:rPr>
        <w:t>Discussion</w:t>
      </w:r>
    </w:p>
    <w:p>
      <w:pPr>
        <w:pStyle w:val="2"/>
        <w:numPr>
          <w:ilvl w:val="0"/>
          <w:numId w:val="13"/>
        </w:numPr>
        <w:rPr>
          <w:lang w:val="en-US" w:eastAsia="zh-CN"/>
        </w:rPr>
      </w:pPr>
      <w:bookmarkStart w:id="1" w:name="_Toc46307403"/>
      <w:r>
        <w:rPr>
          <w:rFonts w:hint="eastAsia"/>
          <w:lang w:val="en-US" w:eastAsia="zh-CN"/>
        </w:rPr>
        <w:t xml:space="preserve"> Introduction</w:t>
      </w:r>
    </w:p>
    <w:p>
      <w:pPr>
        <w:jc w:val="both"/>
        <w:rPr>
          <w:lang w:eastAsia="zh-CN"/>
        </w:rPr>
      </w:pPr>
      <w:r>
        <w:rPr>
          <w:rFonts w:hint="eastAsia"/>
          <w:lang w:eastAsia="zh-CN"/>
        </w:rPr>
        <w:t>At the RAN #90 meeting, a new WID on extending current NR operation to 71 GHz</w:t>
      </w:r>
      <w:r>
        <w:rPr>
          <w:lang w:eastAsia="zh-CN"/>
        </w:rPr>
        <w:t xml:space="preserve"> </w:t>
      </w:r>
      <w:r>
        <w:rPr>
          <w:rFonts w:hint="eastAsia"/>
          <w:lang w:eastAsia="zh-CN"/>
        </w:rPr>
        <w:t xml:space="preserve">[1] was approved. And in the WID, the following objectives may need further evaluation. </w:t>
      </w:r>
    </w:p>
    <w:p>
      <w:pPr>
        <w:pStyle w:val="86"/>
        <w:numPr>
          <w:ilvl w:val="1"/>
          <w:numId w:val="14"/>
        </w:numPr>
        <w:tabs>
          <w:tab w:val="left" w:pos="425"/>
        </w:tabs>
        <w:spacing w:before="18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pPr>
        <w:pStyle w:val="86"/>
        <w:numPr>
          <w:ilvl w:val="1"/>
          <w:numId w:val="14"/>
        </w:numPr>
        <w:tabs>
          <w:tab w:val="left" w:pos="425"/>
        </w:tabs>
        <w:spacing w:before="180"/>
        <w:rPr>
          <w:lang w:eastAsia="zh-CN"/>
        </w:rPr>
      </w:pPr>
      <w:r>
        <w:rPr>
          <w:rFonts w:hint="eastAsia"/>
          <w:lang w:eastAsia="zh-CN"/>
        </w:rPr>
        <w:t xml:space="preserve"> </w:t>
      </w:r>
      <w:r>
        <w:rPr>
          <w:rFonts w:eastAsia="等线"/>
          <w:lang w:eastAsia="ko-KR"/>
        </w:rPr>
        <w:t>Support enhancement for PUCCH format 0/1/4 to increase the number of RBs under PSD limitation in shared spectrum operation.</w:t>
      </w:r>
    </w:p>
    <w:p>
      <w:pPr>
        <w:pStyle w:val="2"/>
        <w:numPr>
          <w:ilvl w:val="0"/>
          <w:numId w:val="13"/>
        </w:numPr>
        <w:rPr>
          <w:lang w:val="en-US" w:eastAsia="zh-CN"/>
        </w:rPr>
      </w:pPr>
      <w:r>
        <w:rPr>
          <w:rFonts w:hint="eastAsia"/>
          <w:lang w:val="en-US" w:eastAsia="zh-CN"/>
        </w:rPr>
        <w:t xml:space="preserve"> Link level simulation results</w:t>
      </w:r>
    </w:p>
    <w:p>
      <w:pPr>
        <w:pStyle w:val="3"/>
        <w:numPr>
          <w:ilvl w:val="1"/>
          <w:numId w:val="13"/>
        </w:numPr>
      </w:pPr>
      <w:bookmarkStart w:id="2" w:name="_Toc53775906"/>
      <w:r>
        <w:rPr>
          <w:rFonts w:hint="eastAsia" w:eastAsia="宋体"/>
          <w:lang w:val="en-US" w:eastAsia="zh-CN"/>
        </w:rPr>
        <w:t xml:space="preserve"> </w:t>
      </w:r>
      <w:r>
        <w:t xml:space="preserve">PTRS </w:t>
      </w:r>
      <w:bookmarkEnd w:id="2"/>
    </w:p>
    <w:p>
      <w:pPr>
        <w:rPr>
          <w:rFonts w:eastAsia="宋体"/>
          <w:lang w:eastAsia="zh-CN"/>
        </w:rPr>
      </w:pPr>
      <w:r>
        <w:rPr>
          <w:rFonts w:hint="eastAsia" w:eastAsia="宋体"/>
          <w:lang w:eastAsia="zh-CN"/>
        </w:rPr>
        <w:t xml:space="preserve">In above 52.6 GHz SI phase, it has been discussed that for high modulation order(64QAM) and lower subcarrier spacing(e.g. 120kHz, 480kHz), ICI compensation method, which is probably more complex and efficient compared with CPE compensation, could be utilized to mitigate the phase noise. </w:t>
      </w:r>
    </w:p>
    <w:p>
      <w:pPr>
        <w:rPr>
          <w:rFonts w:eastAsia="宋体"/>
          <w:lang w:eastAsia="zh-CN"/>
        </w:rPr>
      </w:pPr>
      <w:r>
        <w:rPr>
          <w:rFonts w:hint="eastAsia" w:eastAsia="宋体"/>
          <w:lang w:eastAsia="zh-CN"/>
        </w:rPr>
        <w:t xml:space="preserve">There are 2 kinds of ICI compensation approach with </w:t>
      </w:r>
      <w:r>
        <w:rPr>
          <w:rFonts w:hint="eastAsia" w:eastAsia="宋体"/>
          <w:position w:val="-10"/>
          <w:lang w:eastAsia="zh-CN"/>
        </w:rPr>
        <w:object>
          <v:shape id="_x0000_i1025" o:spt="75" type="#_x0000_t75" style="height:13.6pt;width:27.8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eastAsia="宋体"/>
          <w:lang w:eastAsia="zh-CN"/>
        </w:rPr>
        <w:t xml:space="preserve"> taps introduced in SI phase:</w:t>
      </w:r>
    </w:p>
    <w:p>
      <w:pPr>
        <w:numPr>
          <w:ilvl w:val="0"/>
          <w:numId w:val="15"/>
        </w:numPr>
        <w:rPr>
          <w:rFonts w:eastAsia="宋体"/>
          <w:lang w:eastAsia="zh-CN"/>
        </w:rPr>
      </w:pPr>
      <w:r>
        <w:rPr>
          <w:rFonts w:hint="eastAsia" w:eastAsia="宋体"/>
          <w:lang w:eastAsia="zh-CN"/>
        </w:rPr>
        <w:t xml:space="preserve">Direct De-ICI approach: This approach could be performed with Rel-15 legacy PTRS pattern, the ICI estimation equations are formulated by the distributed PTRS REs and the adjacent </w:t>
      </w:r>
      <w:r>
        <w:rPr>
          <w:rFonts w:hint="eastAsia" w:eastAsia="宋体"/>
          <w:position w:val="-10"/>
          <w:lang w:eastAsia="zh-CN"/>
        </w:rPr>
        <w:object>
          <v:shape id="_x0000_i1026" o:spt="75" type="#_x0000_t75" style="height:12.9pt;width:12.2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eastAsia="宋体"/>
          <w:lang w:eastAsia="zh-CN"/>
        </w:rPr>
        <w:t>data REs, then the received signals will be directly filtered by the estimated filter coefficients.</w:t>
      </w:r>
    </w:p>
    <w:p>
      <w:pPr>
        <w:numPr>
          <w:ilvl w:val="0"/>
          <w:numId w:val="15"/>
        </w:numPr>
        <w:rPr>
          <w:rFonts w:eastAsia="宋体"/>
          <w:lang w:eastAsia="zh-CN"/>
        </w:rPr>
      </w:pPr>
      <w:r>
        <w:rPr>
          <w:rFonts w:hint="eastAsia" w:eastAsia="宋体"/>
          <w:lang w:eastAsia="zh-CN"/>
        </w:rPr>
        <w:t xml:space="preserve">ICI filter approximation approach: This approach relies on the consecutive PTRS structure of block PTRS, each </w:t>
      </w:r>
      <w:r>
        <w:rPr>
          <w:rFonts w:hint="eastAsia" w:eastAsia="宋体"/>
          <w:position w:val="-10"/>
          <w:lang w:eastAsia="zh-CN"/>
        </w:rPr>
        <w:object>
          <v:shape id="_x0000_i1027" o:spt="75" type="#_x0000_t75" style="height:12.9pt;width:25.8pt;" o:ole="t"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8">
            <o:LockedField>false</o:LockedField>
          </o:OLEObject>
        </w:object>
      </w:r>
      <w:r>
        <w:rPr>
          <w:rFonts w:hint="eastAsia" w:eastAsia="宋体"/>
          <w:lang w:eastAsia="zh-CN"/>
        </w:rPr>
        <w:t xml:space="preserve"> PTRS REs can be circularly used to formulate one ICI estimation equation, then the received signals will be filtered by the conjugate inverse of the estimated filter coefficients.</w:t>
      </w:r>
    </w:p>
    <w:p>
      <w:pPr>
        <w:rPr>
          <w:rFonts w:eastAsia="宋体"/>
          <w:lang w:eastAsia="zh-CN"/>
        </w:rPr>
      </w:pPr>
    </w:p>
    <w:p>
      <w:pPr>
        <w:jc w:val="center"/>
      </w:pPr>
      <w:r>
        <w:rPr>
          <w:lang w:eastAsia="zh-CN"/>
        </w:rPr>
        <w:drawing>
          <wp:inline distT="0" distB="0" distL="114300" distR="114300">
            <wp:extent cx="3080385" cy="1685925"/>
            <wp:effectExtent l="0" t="0" r="571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3080385" cy="1685925"/>
                    </a:xfrm>
                    <a:prstGeom prst="rect">
                      <a:avLst/>
                    </a:prstGeom>
                    <a:noFill/>
                    <a:ln>
                      <a:noFill/>
                    </a:ln>
                  </pic:spPr>
                </pic:pic>
              </a:graphicData>
            </a:graphic>
          </wp:inline>
        </w:drawing>
      </w:r>
    </w:p>
    <w:p>
      <w:pPr>
        <w:numPr>
          <w:ilvl w:val="0"/>
          <w:numId w:val="16"/>
        </w:numPr>
        <w:jc w:val="center"/>
        <w:rPr>
          <w:rFonts w:eastAsia="宋体"/>
          <w:lang w:eastAsia="zh-CN"/>
        </w:rPr>
      </w:pPr>
      <w:r>
        <w:rPr>
          <w:rFonts w:hint="eastAsia" w:eastAsia="宋体"/>
          <w:lang w:eastAsia="zh-CN"/>
        </w:rPr>
        <w:t>Rel-15 legacy PTRS        (b)Block PTRS          (c)Hybrid PTRS</w:t>
      </w:r>
    </w:p>
    <w:p>
      <w:pPr>
        <w:jc w:val="center"/>
        <w:rPr>
          <w:rFonts w:eastAsia="宋体"/>
          <w:lang w:eastAsia="zh-CN"/>
        </w:rPr>
      </w:pPr>
      <w:r>
        <w:rPr>
          <w:rFonts w:hint="eastAsia" w:eastAsia="宋体"/>
          <w:lang w:eastAsia="zh-CN"/>
        </w:rPr>
        <w:t>Figure 2.1-1. Different PTRS patterns</w:t>
      </w:r>
    </w:p>
    <w:p>
      <w:pPr>
        <w:jc w:val="both"/>
        <w:rPr>
          <w:rFonts w:eastAsia="宋体"/>
          <w:lang w:eastAsia="zh-CN"/>
        </w:rPr>
      </w:pPr>
      <w:r>
        <w:rPr>
          <w:rFonts w:hint="eastAsia" w:eastAsia="宋体"/>
          <w:lang w:eastAsia="zh-CN"/>
        </w:rPr>
        <w:t>As shown in Figure 2.1-1, (a) is the Rel-15 legacy PTRS pattern, there will be one PTRS RE for each 2 RBs if frequency density K=2; (b) is block PTRS, the total number of PTRS REs is the same as the legacy distributed PTRS pattern, and these PTRS REs are consecutively placed in frequency domain; (c) is the hybrid PTRS, which combines the features of legacy PTRS and block PTRS, multiple blocks are distributed uniformly in frequency domain.</w:t>
      </w:r>
    </w:p>
    <w:p>
      <w:pPr>
        <w:jc w:val="both"/>
        <w:rPr>
          <w:rFonts w:eastAsia="宋体"/>
          <w:lang w:eastAsia="zh-CN"/>
        </w:rPr>
      </w:pPr>
      <w:r>
        <w:rPr>
          <w:rFonts w:hint="eastAsia" w:eastAsia="宋体"/>
          <w:lang w:eastAsia="zh-CN"/>
        </w:rPr>
        <w:t>For block PTRS, the PTRS REs are concentrated in a small part of the whole bandwidth, therefore the frequency diversity couldn</w:t>
      </w:r>
      <w:r>
        <w:rPr>
          <w:rFonts w:eastAsia="宋体"/>
          <w:lang w:eastAsia="zh-CN"/>
        </w:rPr>
        <w:t>’</w:t>
      </w:r>
      <w:r>
        <w:rPr>
          <w:rFonts w:hint="eastAsia" w:eastAsia="宋体"/>
          <w:lang w:eastAsia="zh-CN"/>
        </w:rPr>
        <w:t xml:space="preserve">t be reflected well. For hybrid PTRS, each block requires at least </w:t>
      </w:r>
      <w:r>
        <w:rPr>
          <w:rFonts w:hint="eastAsia" w:eastAsia="宋体"/>
          <w:position w:val="-10"/>
          <w:lang w:eastAsia="zh-CN"/>
        </w:rPr>
        <w:object>
          <v:shape id="_x0000_i1028" o:spt="75" type="#_x0000_t75" style="height:13.6pt;width:27.1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eastAsia="宋体"/>
          <w:lang w:eastAsia="zh-CN"/>
        </w:rPr>
        <w:t xml:space="preserve"> consecutive PTRS REs to formulate enough equations for ICI estimation, it might be difficult to balance the ICI estimation accuracy and the frequency diversity for each PTRS density configuration. </w:t>
      </w:r>
    </w:p>
    <w:p>
      <w:pPr>
        <w:jc w:val="both"/>
        <w:rPr>
          <w:rFonts w:eastAsia="宋体"/>
          <w:lang w:eastAsia="zh-CN"/>
        </w:rPr>
      </w:pPr>
      <w:r>
        <w:rPr>
          <w:rFonts w:hint="eastAsia" w:eastAsia="宋体"/>
          <w:lang w:eastAsia="zh-CN"/>
        </w:rPr>
        <w:t xml:space="preserve">In order to study whether PTRS enhancement is beneficial, evaluations are performed with the legacy PTRS, block PTRS and hybrid PTRS. To keep the comparison in a relatively fair condition, it is assumed that for each PTRS pattern, 3-tap ICI compensation method are used, the total PTRS RE number is the same as Rel-15 legacy PTRS with (K=2, L=1). </w:t>
      </w:r>
    </w:p>
    <w:p>
      <w:pPr>
        <w:jc w:val="center"/>
      </w:pPr>
      <w:r>
        <w:rPr>
          <w:lang w:eastAsia="zh-CN"/>
        </w:rPr>
        <w:drawing>
          <wp:inline distT="0" distB="0" distL="114300" distR="114300">
            <wp:extent cx="2854325" cy="2142490"/>
            <wp:effectExtent l="0" t="0" r="3175" b="1016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12"/>
                    <a:stretch>
                      <a:fillRect/>
                    </a:stretch>
                  </pic:blipFill>
                  <pic:spPr>
                    <a:xfrm>
                      <a:off x="0" y="0"/>
                      <a:ext cx="2854325" cy="2142490"/>
                    </a:xfrm>
                    <a:prstGeom prst="rect">
                      <a:avLst/>
                    </a:prstGeom>
                    <a:noFill/>
                    <a:ln>
                      <a:noFill/>
                    </a:ln>
                  </pic:spPr>
                </pic:pic>
              </a:graphicData>
            </a:graphic>
          </wp:inline>
        </w:drawing>
      </w:r>
      <w:r>
        <w:rPr>
          <w:lang w:eastAsia="zh-CN"/>
        </w:rPr>
        <w:drawing>
          <wp:inline distT="0" distB="0" distL="114300" distR="114300">
            <wp:extent cx="2893695" cy="2170430"/>
            <wp:effectExtent l="0" t="0" r="1905" b="1270"/>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13"/>
                    <a:stretch>
                      <a:fillRect/>
                    </a:stretch>
                  </pic:blipFill>
                  <pic:spPr>
                    <a:xfrm>
                      <a:off x="0" y="0"/>
                      <a:ext cx="2893695" cy="2170430"/>
                    </a:xfrm>
                    <a:prstGeom prst="rect">
                      <a:avLst/>
                    </a:prstGeom>
                    <a:noFill/>
                    <a:ln>
                      <a:noFill/>
                    </a:ln>
                  </pic:spPr>
                </pic:pic>
              </a:graphicData>
            </a:graphic>
          </wp:inline>
        </w:drawing>
      </w:r>
    </w:p>
    <w:p>
      <w:pPr>
        <w:jc w:val="center"/>
        <w:rPr>
          <w:rFonts w:eastAsia="宋体"/>
          <w:lang w:eastAsia="zh-CN"/>
        </w:rPr>
      </w:pPr>
      <w:r>
        <w:rPr>
          <w:rFonts w:hint="eastAsia" w:eastAsia="宋体"/>
          <w:lang w:eastAsia="zh-CN"/>
        </w:rPr>
        <w:t>Figure 2.1-2 Performance of different PTRS patterns</w:t>
      </w:r>
    </w:p>
    <w:p>
      <w:pPr>
        <w:jc w:val="both"/>
        <w:rPr>
          <w:rFonts w:eastAsia="宋体"/>
          <w:lang w:eastAsia="zh-CN"/>
        </w:rPr>
      </w:pPr>
      <w:r>
        <w:rPr>
          <w:rFonts w:hint="eastAsia" w:eastAsia="宋体"/>
          <w:lang w:eastAsia="zh-CN"/>
        </w:rPr>
        <w:t>As illustrated in Figure 2.1-2, for 120kHz TDL-A 5ns with 64QAM modulation,</w:t>
      </w:r>
    </w:p>
    <w:p>
      <w:pPr>
        <w:numPr>
          <w:ilvl w:val="0"/>
          <w:numId w:val="17"/>
        </w:numPr>
        <w:jc w:val="both"/>
        <w:rPr>
          <w:rFonts w:eastAsia="宋体"/>
          <w:lang w:eastAsia="zh-CN"/>
        </w:rPr>
      </w:pPr>
      <w:r>
        <w:rPr>
          <w:rFonts w:hint="eastAsia" w:eastAsia="宋体"/>
          <w:lang w:eastAsia="zh-CN"/>
        </w:rPr>
        <w:t>ICI compensation can achieve 10% BLER while CPE compensation can not.</w:t>
      </w:r>
    </w:p>
    <w:p>
      <w:pPr>
        <w:numPr>
          <w:ilvl w:val="0"/>
          <w:numId w:val="17"/>
        </w:numPr>
        <w:jc w:val="both"/>
        <w:rPr>
          <w:rFonts w:eastAsia="宋体"/>
          <w:lang w:eastAsia="zh-CN"/>
        </w:rPr>
      </w:pPr>
      <w:r>
        <w:rPr>
          <w:rFonts w:hint="eastAsia" w:eastAsia="宋体"/>
          <w:lang w:eastAsia="zh-CN"/>
        </w:rPr>
        <w:t xml:space="preserve">ICI compensation based on legacy PTRS, block PTRS and hybrid PTRS shows similar performance. </w:t>
      </w:r>
    </w:p>
    <w:p>
      <w:pPr>
        <w:jc w:val="both"/>
        <w:rPr>
          <w:rFonts w:eastAsia="宋体"/>
          <w:lang w:eastAsia="zh-CN"/>
        </w:rPr>
      </w:pPr>
      <w:r>
        <w:rPr>
          <w:rFonts w:eastAsia="宋体"/>
          <w:lang w:eastAsia="zh-CN"/>
        </w:rPr>
        <w:t xml:space="preserve">And </w:t>
      </w:r>
      <w:r>
        <w:rPr>
          <w:rFonts w:hint="eastAsia" w:eastAsia="宋体"/>
          <w:lang w:eastAsia="zh-CN"/>
        </w:rPr>
        <w:t xml:space="preserve">for 480kHz TDL-A 5ns with 64QAM modulation, </w:t>
      </w:r>
    </w:p>
    <w:p>
      <w:pPr>
        <w:numPr>
          <w:ilvl w:val="0"/>
          <w:numId w:val="18"/>
        </w:numPr>
        <w:jc w:val="both"/>
        <w:rPr>
          <w:rFonts w:eastAsia="宋体"/>
          <w:lang w:eastAsia="zh-CN"/>
        </w:rPr>
      </w:pPr>
      <w:r>
        <w:rPr>
          <w:rFonts w:hint="eastAsia" w:eastAsia="宋体"/>
          <w:lang w:eastAsia="zh-CN"/>
        </w:rPr>
        <w:t>The performance of ICI compensation based on block PTRS is similar as CPE compensation.</w:t>
      </w:r>
    </w:p>
    <w:p>
      <w:pPr>
        <w:numPr>
          <w:ilvl w:val="0"/>
          <w:numId w:val="18"/>
        </w:numPr>
        <w:jc w:val="both"/>
        <w:rPr>
          <w:rFonts w:eastAsia="宋体"/>
          <w:lang w:eastAsia="zh-CN"/>
        </w:rPr>
      </w:pPr>
      <w:r>
        <w:rPr>
          <w:rFonts w:hint="eastAsia" w:eastAsia="宋体"/>
          <w:lang w:eastAsia="zh-CN"/>
        </w:rPr>
        <w:t>The performance of ICI compensation based on hybrid PTRS and legacy PTRS are similar, both provide about 1dB gain @10% BLER and more than 2dB gain @1% BLER compared with CPE compensation.</w:t>
      </w:r>
    </w:p>
    <w:p>
      <w:pPr>
        <w:jc w:val="both"/>
        <w:rPr>
          <w:rFonts w:eastAsia="宋体"/>
          <w:b/>
          <w:bCs/>
          <w:lang w:eastAsia="zh-CN"/>
        </w:rPr>
      </w:pPr>
      <w:r>
        <w:rPr>
          <w:rFonts w:hint="eastAsia" w:eastAsia="宋体"/>
          <w:b/>
          <w:bCs/>
          <w:lang w:eastAsia="zh-CN"/>
        </w:rPr>
        <w:t>Observation 1: ICI compensation based on legacy PTRS can achieve similar or better performance compared with ICI compensation based on block PTRS and hybrid PTRS.</w:t>
      </w:r>
    </w:p>
    <w:p>
      <w:pPr>
        <w:jc w:val="both"/>
        <w:rPr>
          <w:rFonts w:eastAsia="宋体"/>
          <w:lang w:eastAsia="zh-CN"/>
        </w:rPr>
      </w:pPr>
      <w:r>
        <w:rPr>
          <w:rFonts w:hint="eastAsia" w:eastAsia="宋体"/>
          <w:lang w:eastAsia="zh-CN"/>
        </w:rPr>
        <w:t>To investigate the complexity of each ICI compensation approach based on different PTRS patterns, the following main formulas in [4] are analyzed:</w:t>
      </w:r>
    </w:p>
    <w:p>
      <w:pPr>
        <w:jc w:val="both"/>
        <w:rPr>
          <w:rFonts w:eastAsia="宋体"/>
          <w:lang w:eastAsia="zh-CN"/>
        </w:rPr>
      </w:pPr>
      <w:r>
        <w:rPr>
          <w:rFonts w:hint="eastAsia" w:eastAsia="宋体"/>
          <w:lang w:eastAsia="zh-CN"/>
        </w:rPr>
        <w:t xml:space="preserve">Direct De-ICI approach:               </w:t>
      </w:r>
    </w:p>
    <w:p>
      <w:pPr>
        <w:jc w:val="right"/>
        <w:rPr>
          <w:rFonts w:hint="eastAsia" w:ascii="Cambria Math" w:hAnsi="Cambria Math" w:eastAsia="宋体"/>
          <w:lang w:eastAsia="zh-CN"/>
        </w:rPr>
      </w:pPr>
      <w:r>
        <w:rPr>
          <w:rFonts w:hint="eastAsia" w:ascii="Cambria Math" w:hAnsi="Cambria Math" w:eastAsia="宋体"/>
          <w:lang w:eastAsia="zh-CN"/>
        </w:rPr>
        <w:t xml:space="preserve">    </w:t>
      </w:r>
      <w:r>
        <w:rPr>
          <w:rFonts w:hint="eastAsia" w:ascii="Cambria Math" w:hAnsi="Cambria Math" w:eastAsia="宋体"/>
          <w:position w:val="-10"/>
          <w:lang w:eastAsia="zh-CN"/>
        </w:rPr>
        <w:object>
          <v:shape id="_x0000_i1029" o:spt="75" type="#_x0000_t75" style="height:21.05pt;width:82.2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Cambria Math" w:hAnsi="Cambria Math" w:eastAsia="宋体"/>
          <w:lang w:eastAsia="zh-CN"/>
        </w:rPr>
        <w:t xml:space="preserve">                                                                                          (1)</w:t>
      </w:r>
    </w:p>
    <w:p>
      <w:pPr>
        <w:rPr>
          <w:rFonts w:eastAsia="宋体"/>
          <w:lang w:eastAsia="zh-CN"/>
        </w:rPr>
      </w:pPr>
      <w:r>
        <w:rPr>
          <w:rFonts w:hint="eastAsia" w:eastAsia="宋体"/>
          <w:lang w:eastAsia="zh-CN"/>
        </w:rPr>
        <w:t>ICI filter approximation approach:</w:t>
      </w:r>
    </w:p>
    <w:p>
      <w:pPr>
        <w:jc w:val="right"/>
        <w:rPr>
          <w:rFonts w:hint="eastAsia" w:ascii="Cambria Math" w:hAnsi="Cambria Math" w:eastAsia="宋体"/>
          <w:lang w:eastAsia="zh-CN"/>
        </w:rPr>
      </w:pPr>
      <w:r>
        <w:rPr>
          <w:rFonts w:hint="eastAsia" w:ascii="Cambria Math" w:hAnsi="Cambria Math" w:eastAsia="宋体"/>
          <w:lang w:eastAsia="zh-CN"/>
        </w:rPr>
        <w:t xml:space="preserve">             </w:t>
      </w:r>
      <w:r>
        <w:rPr>
          <w:rFonts w:hint="eastAsia" w:ascii="Cambria Math" w:hAnsi="Cambria Math" w:eastAsia="宋体"/>
          <w:position w:val="-10"/>
          <w:lang w:eastAsia="zh-CN"/>
        </w:rPr>
        <w:object>
          <v:shape id="_x0000_i1030" o:spt="75" type="#_x0000_t75" style="height:21.05pt;width:88.3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Cambria Math" w:hAnsi="Cambria Math" w:eastAsia="宋体"/>
          <w:lang w:eastAsia="zh-CN"/>
        </w:rPr>
        <w:t xml:space="preserve">                                                                                       (2)</w:t>
      </w:r>
    </w:p>
    <w:p>
      <w:pPr>
        <w:rPr>
          <w:rFonts w:eastAsia="宋体"/>
          <w:lang w:eastAsia="zh-CN"/>
        </w:rPr>
      </w:pPr>
      <w:r>
        <w:rPr>
          <w:rFonts w:eastAsia="宋体"/>
          <w:lang w:eastAsia="zh-CN"/>
        </w:rPr>
        <w:t xml:space="preserve">Where </w:t>
      </w:r>
      <w:r>
        <w:rPr>
          <w:rFonts w:eastAsia="宋体"/>
          <w:position w:val="-12"/>
          <w:lang w:eastAsia="zh-CN"/>
        </w:rPr>
        <w:object>
          <v:shape id="_x0000_i1031" o:spt="75" type="#_x0000_t75" style="height:18.35pt;width:14.2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eastAsia="宋体"/>
          <w:lang w:eastAsia="zh-CN"/>
        </w:rPr>
        <w:t xml:space="preserve">and </w:t>
      </w:r>
      <w:r>
        <w:rPr>
          <w:rFonts w:eastAsia="宋体"/>
          <w:position w:val="-12"/>
          <w:lang w:eastAsia="zh-CN"/>
        </w:rPr>
        <w:object>
          <v:shape id="_x0000_i1032" o:spt="75" type="#_x0000_t75" style="height:19.7pt;width:12.9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eastAsia="宋体"/>
          <w:lang w:eastAsia="zh-CN"/>
        </w:rPr>
        <w:t xml:space="preserve"> are respectively ICI filter taps of </w:t>
      </w:r>
      <w:r>
        <w:rPr>
          <w:rFonts w:hint="eastAsia" w:eastAsia="宋体"/>
          <w:lang w:eastAsia="zh-CN"/>
        </w:rPr>
        <w:t>Direct De-ICI approach and ICI filter approximation approach, it can be seen that the calculation procedures are similar for the 2 approaches, the factors impact the complexity would be the dimension of the matrices.</w:t>
      </w:r>
    </w:p>
    <w:p>
      <w:pPr>
        <w:rPr>
          <w:rFonts w:eastAsia="宋体"/>
          <w:lang w:eastAsia="zh-CN"/>
        </w:rPr>
      </w:pPr>
      <w:r>
        <w:rPr>
          <w:rFonts w:hint="eastAsia" w:eastAsia="宋体"/>
          <w:lang w:eastAsia="zh-CN"/>
        </w:rPr>
        <w:t xml:space="preserve">Assume the number of PTRS REs is M, then for legacy PTRS with Direct De-ICI approach, </w:t>
      </w:r>
      <w:r>
        <w:rPr>
          <w:rFonts w:hint="eastAsia" w:eastAsia="宋体"/>
          <w:position w:val="-4"/>
          <w:lang w:eastAsia="zh-CN"/>
        </w:rPr>
        <w:object>
          <v:shape id="_x0000_i1033" o:spt="75" type="#_x0000_t75" style="height:12.25pt;width:10.8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eastAsia" w:eastAsia="宋体"/>
          <w:lang w:eastAsia="zh-CN"/>
        </w:rPr>
        <w:t xml:space="preserve">is a </w:t>
      </w:r>
      <w:r>
        <w:rPr>
          <w:rFonts w:hint="eastAsia" w:eastAsia="宋体"/>
          <w:position w:val="-10"/>
          <w:lang w:eastAsia="zh-CN"/>
        </w:rPr>
        <w:object>
          <v:shape id="_x0000_i1034" o:spt="75" type="#_x0000_t75" style="height:14.25pt;width:50.9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eastAsia="宋体"/>
          <w:lang w:eastAsia="zh-CN"/>
        </w:rPr>
        <w:t xml:space="preserve"> matrix, </w:t>
      </w:r>
      <w:r>
        <w:rPr>
          <w:rFonts w:hint="eastAsia" w:eastAsia="宋体"/>
          <w:position w:val="-6"/>
          <w:lang w:eastAsia="zh-CN"/>
        </w:rPr>
        <w:object>
          <v:shape id="_x0000_i1035" o:spt="75" type="#_x0000_t75" style="height:10.85pt;width:10.2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eastAsia="宋体"/>
          <w:lang w:eastAsia="zh-CN"/>
        </w:rPr>
        <w:t xml:space="preserve"> is a </w:t>
      </w:r>
      <w:r>
        <w:rPr>
          <w:rFonts w:hint="eastAsia" w:eastAsia="宋体"/>
          <w:position w:val="-4"/>
          <w:lang w:eastAsia="zh-CN"/>
        </w:rPr>
        <w:object>
          <v:shape id="_x0000_i1036" o:spt="75" type="#_x0000_t75" style="height:9.5pt;width:20.4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eastAsia="宋体"/>
          <w:lang w:eastAsia="zh-CN"/>
        </w:rPr>
        <w:t xml:space="preserve"> matrix, so ; for block PTRS with  ICI filter approximation approach, </w:t>
      </w:r>
      <w:r>
        <w:rPr>
          <w:rFonts w:hint="eastAsia" w:eastAsia="宋体"/>
          <w:position w:val="-4"/>
          <w:lang w:eastAsia="zh-CN"/>
        </w:rPr>
        <w:object>
          <v:shape id="_x0000_i1037" o:spt="75" type="#_x0000_t75" style="height:12.25pt;width:12.9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eastAsia="宋体"/>
          <w:lang w:eastAsia="zh-CN"/>
        </w:rPr>
        <w:t xml:space="preserve">is a </w:t>
      </w:r>
      <w:r>
        <w:rPr>
          <w:rFonts w:hint="eastAsia" w:eastAsia="宋体"/>
          <w:position w:val="-10"/>
          <w:sz w:val="16"/>
          <w:szCs w:val="16"/>
          <w:lang w:eastAsia="zh-CN"/>
        </w:rPr>
        <w:object>
          <v:shape id="_x0000_i1038" o:spt="75" type="#_x0000_t75" style="height:14.25pt;width:76.7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eastAsia="宋体"/>
          <w:lang w:eastAsia="zh-CN"/>
        </w:rPr>
        <w:t xml:space="preserve">matrix, </w:t>
      </w:r>
      <w:r>
        <w:rPr>
          <w:rFonts w:hint="eastAsia" w:eastAsia="宋体"/>
          <w:position w:val="-4"/>
          <w:lang w:eastAsia="zh-CN"/>
        </w:rPr>
        <w:object>
          <v:shape id="_x0000_i1039" o:spt="75" type="#_x0000_t75" style="height:10.2pt;width:8.8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eastAsia" w:eastAsia="宋体"/>
          <w:lang w:eastAsia="zh-CN"/>
        </w:rPr>
        <w:t xml:space="preserve">is a </w:t>
      </w:r>
      <w:r>
        <w:rPr>
          <w:rFonts w:hint="eastAsia" w:eastAsia="宋体"/>
          <w:position w:val="-10"/>
          <w:lang w:eastAsia="zh-CN"/>
        </w:rPr>
        <w:object>
          <v:shape id="_x0000_i1040" o:spt="75" type="#_x0000_t75" style="height:13.6pt;width:48.9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rPr>
          <w:rFonts w:hint="eastAsia" w:eastAsia="宋体"/>
          <w:lang w:eastAsia="zh-CN"/>
        </w:rPr>
        <w:t xml:space="preserve"> matrix, there is also one matrix inverse calculation of dimension </w:t>
      </w:r>
      <w:r>
        <w:rPr>
          <w:rFonts w:hint="eastAsia" w:eastAsia="宋体"/>
          <w:position w:val="-10"/>
          <w:lang w:eastAsia="zh-CN"/>
        </w:rPr>
        <w:object>
          <v:shape id="_x0000_i1041" o:spt="75" type="#_x0000_t75" style="height:13.6pt;width:67.2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rPr>
          <w:rFonts w:hint="eastAsia" w:eastAsia="宋体"/>
          <w:lang w:eastAsia="zh-CN"/>
        </w:rPr>
        <w:t xml:space="preserve">; for hybrid PTRS with N blocks, X is a </w:t>
      </w:r>
      <w:r>
        <w:rPr>
          <w:rFonts w:hint="eastAsia" w:eastAsia="宋体"/>
          <w:position w:val="-10"/>
          <w:lang w:eastAsia="zh-CN"/>
        </w:rPr>
        <w:object>
          <v:shape id="_x0000_i1042" o:spt="75" type="#_x0000_t75" style="height:14.25pt;width:84.2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rPr>
          <w:rFonts w:hint="eastAsia" w:eastAsia="宋体"/>
          <w:lang w:eastAsia="zh-CN"/>
        </w:rPr>
        <w:t xml:space="preserve"> matrix, r is a </w:t>
      </w:r>
      <w:r>
        <w:rPr>
          <w:rFonts w:hint="eastAsia" w:eastAsia="宋体"/>
          <w:position w:val="-10"/>
          <w:lang w:eastAsia="zh-CN"/>
        </w:rPr>
        <w:object>
          <v:shape id="_x0000_i1043" o:spt="75" type="#_x0000_t75" style="height:14.25pt;width:59.1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2">
            <o:LockedField>false</o:LockedField>
          </o:OLEObject>
        </w:object>
      </w:r>
      <w:r>
        <w:rPr>
          <w:rFonts w:hint="eastAsia" w:eastAsia="宋体"/>
          <w:lang w:eastAsia="zh-CN"/>
        </w:rPr>
        <w:t xml:space="preserve"> matrix.</w:t>
      </w:r>
    </w:p>
    <w:p>
      <w:pPr>
        <w:rPr>
          <w:rFonts w:eastAsia="宋体"/>
          <w:lang w:eastAsia="zh-CN"/>
        </w:rPr>
      </w:pPr>
      <w:r>
        <w:rPr>
          <w:rFonts w:hint="eastAsia" w:eastAsia="宋体"/>
          <w:lang w:eastAsia="zh-CN"/>
        </w:rPr>
        <w:t xml:space="preserve">It can be seen from the analysis above, there is one matrix inverse calculation of dimension </w:t>
      </w:r>
      <w:r>
        <w:rPr>
          <w:rFonts w:hint="eastAsia" w:eastAsia="宋体"/>
          <w:position w:val="-10"/>
          <w:lang w:eastAsia="zh-CN"/>
        </w:rPr>
        <w:object>
          <v:shape id="_x0000_i1044" o:spt="75" type="#_x0000_t75" style="height:13.6pt;width:67.2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44">
            <o:LockedField>false</o:LockedField>
          </o:OLEObject>
        </w:object>
      </w:r>
      <w:r>
        <w:rPr>
          <w:rFonts w:hint="eastAsia" w:eastAsia="宋体"/>
          <w:position w:val="-10"/>
          <w:lang w:eastAsia="zh-CN"/>
        </w:rPr>
        <w:t xml:space="preserve"> </w:t>
      </w:r>
      <w:r>
        <w:rPr>
          <w:rFonts w:hint="eastAsia" w:eastAsia="宋体"/>
          <w:lang w:eastAsia="zh-CN"/>
        </w:rPr>
        <w:t xml:space="preserve">for these three kinds of PTRS patterns, the matrix inverse complexity of the 3 patterns is the same. The number of complex multiplication and complex addition is slightly larger for legacy PTRS with Direct De-ICI approach[5], for example, for 400MHz bandwidth 120kHz SCS, assume K=2 </w:t>
      </w:r>
      <w:r>
        <w:rPr>
          <w:rFonts w:hint="eastAsia" w:eastAsia="宋体"/>
          <w:position w:val="-10"/>
          <w:lang w:eastAsia="zh-CN"/>
        </w:rPr>
        <w:object>
          <v:shape id="_x0000_i1045" o:spt="75" type="#_x0000_t75" style="height:14.95pt;width:26.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rPr>
          <w:rFonts w:hint="eastAsia" w:eastAsia="宋体"/>
          <w:lang w:eastAsia="zh-CN"/>
        </w:rPr>
        <w:t>, the complexity comparison of legacy PTRS, block PTRS and hybrid PTRS can be shown as:</w:t>
      </w:r>
    </w:p>
    <w:p>
      <w:pPr>
        <w:jc w:val="center"/>
        <w:rPr>
          <w:rFonts w:eastAsia="宋体"/>
          <w:lang w:eastAsia="zh-CN"/>
        </w:rPr>
      </w:pPr>
      <w:r>
        <w:rPr>
          <w:rFonts w:hint="eastAsia" w:eastAsia="宋体"/>
          <w:lang w:eastAsia="zh-CN"/>
        </w:rPr>
        <w:t>Table 2.1-1. Complexity comparison of legacy PTRS, block PTRS and hybrid PTRS</w:t>
      </w:r>
    </w:p>
    <w:tbl>
      <w:tblPr>
        <w:tblStyle w:val="61"/>
        <w:tblW w:w="6346" w:type="dxa"/>
        <w:jc w:val="center"/>
        <w:tblInd w:w="0" w:type="dxa"/>
        <w:tblLayout w:type="fixed"/>
        <w:tblCellMar>
          <w:top w:w="0" w:type="dxa"/>
          <w:left w:w="108" w:type="dxa"/>
          <w:bottom w:w="0" w:type="dxa"/>
          <w:right w:w="108" w:type="dxa"/>
        </w:tblCellMar>
      </w:tblPr>
      <w:tblGrid>
        <w:gridCol w:w="1404"/>
        <w:gridCol w:w="1931"/>
        <w:gridCol w:w="1511"/>
        <w:gridCol w:w="1500"/>
      </w:tblGrid>
      <w:tr>
        <w:tblPrEx>
          <w:tblLayout w:type="fixed"/>
          <w:tblCellMar>
            <w:top w:w="0" w:type="dxa"/>
            <w:left w:w="108" w:type="dxa"/>
            <w:bottom w:w="0" w:type="dxa"/>
            <w:right w:w="108" w:type="dxa"/>
          </w:tblCellMar>
        </w:tblPrEx>
        <w:trPr>
          <w:trHeight w:val="389"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p>
        </w:tc>
        <w:tc>
          <w:tcPr>
            <w:tcW w:w="1931" w:type="dxa"/>
            <w:tcBorders>
              <w:top w:val="single" w:color="4BACC6" w:sz="8" w:space="0"/>
              <w:left w:val="dotted" w:color="auto" w:sz="0"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r>
              <w:rPr>
                <w:rFonts w:eastAsia="等线"/>
                <w:color w:val="000000"/>
                <w:sz w:val="18"/>
                <w:szCs w:val="18"/>
                <w:lang w:eastAsia="zh-CN"/>
              </w:rPr>
              <w:t>Complex multiplication</w:t>
            </w:r>
          </w:p>
        </w:tc>
        <w:tc>
          <w:tcPr>
            <w:tcW w:w="1511" w:type="dxa"/>
            <w:tcBorders>
              <w:top w:val="single" w:color="4BACC6" w:sz="8" w:space="0"/>
              <w:left w:val="dotted" w:color="auto" w:sz="0" w:space="0"/>
              <w:bottom w:val="single" w:color="4BACC6" w:sz="8" w:space="0"/>
              <w:right w:val="dotted" w:color="auto" w:sz="4" w:space="0"/>
            </w:tcBorders>
            <w:shd w:val="clear" w:color="000000" w:fill="4BACC6"/>
            <w:vAlign w:val="center"/>
          </w:tcPr>
          <w:p>
            <w:pPr>
              <w:jc w:val="center"/>
              <w:rPr>
                <w:rFonts w:eastAsia="等线"/>
                <w:color w:val="000000"/>
                <w:sz w:val="18"/>
                <w:szCs w:val="18"/>
                <w:lang w:eastAsia="zh-CN"/>
              </w:rPr>
            </w:pPr>
            <w:r>
              <w:rPr>
                <w:rFonts w:eastAsia="等线"/>
                <w:color w:val="000000"/>
                <w:sz w:val="18"/>
                <w:szCs w:val="18"/>
                <w:lang w:eastAsia="zh-CN"/>
              </w:rPr>
              <w:t>Complex addition</w:t>
            </w:r>
          </w:p>
        </w:tc>
        <w:tc>
          <w:tcPr>
            <w:tcW w:w="1500" w:type="dxa"/>
            <w:tcBorders>
              <w:top w:val="single" w:color="4BACC6" w:sz="8" w:space="0"/>
              <w:left w:val="dotted" w:color="auto" w:sz="0" w:space="0"/>
              <w:bottom w:val="single" w:color="4BACC6" w:sz="8" w:space="0"/>
              <w:right w:val="single" w:color="4BACC6" w:sz="8" w:space="0"/>
            </w:tcBorders>
            <w:shd w:val="clear" w:color="000000" w:fill="4BACC6"/>
            <w:vAlign w:val="center"/>
          </w:tcPr>
          <w:p>
            <w:pPr>
              <w:jc w:val="center"/>
              <w:rPr>
                <w:rFonts w:eastAsia="等线"/>
                <w:color w:val="000000"/>
                <w:sz w:val="18"/>
                <w:szCs w:val="18"/>
                <w:lang w:eastAsia="zh-CN"/>
              </w:rPr>
            </w:pPr>
            <w:r>
              <w:rPr>
                <w:rFonts w:hint="eastAsia" w:eastAsia="等线"/>
                <w:color w:val="000000"/>
                <w:sz w:val="18"/>
                <w:szCs w:val="18"/>
                <w:lang w:eastAsia="zh-CN"/>
              </w:rPr>
              <w:t>Matrix inverse</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Legacy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eastAsia="等线"/>
                <w:color w:val="000000"/>
                <w:sz w:val="18"/>
                <w:szCs w:val="18"/>
                <w:lang w:eastAsia="zh-CN"/>
              </w:rPr>
              <w:t>12032</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eastAsia="等线"/>
                <w:color w:val="000000"/>
                <w:sz w:val="18"/>
                <w:szCs w:val="18"/>
                <w:lang w:eastAsia="zh-CN"/>
              </w:rPr>
              <w:t>8436</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1</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wordWrap w:val="0"/>
              <w:ind w:firstLine="180" w:firstLineChars="100"/>
              <w:jc w:val="both"/>
              <w:rPr>
                <w:rFonts w:eastAsia="等线"/>
                <w:color w:val="000000"/>
                <w:sz w:val="18"/>
                <w:szCs w:val="18"/>
                <w:lang w:eastAsia="zh-CN"/>
              </w:rPr>
            </w:pPr>
            <w:r>
              <w:rPr>
                <w:rFonts w:hint="eastAsia" w:eastAsia="等线"/>
                <w:color w:val="000000"/>
                <w:sz w:val="18"/>
                <w:szCs w:val="18"/>
                <w:lang w:eastAsia="zh-CN"/>
              </w:rPr>
              <w:t>Block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11990</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8400</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1</w:t>
            </w:r>
          </w:p>
        </w:tc>
      </w:tr>
      <w:tr>
        <w:tblPrEx>
          <w:tblLayout w:type="fixed"/>
          <w:tblCellMar>
            <w:top w:w="0" w:type="dxa"/>
            <w:left w:w="108" w:type="dxa"/>
            <w:bottom w:w="0" w:type="dxa"/>
            <w:right w:w="108" w:type="dxa"/>
          </w:tblCellMar>
        </w:tblPrEx>
        <w:trPr>
          <w:trHeight w:val="285" w:hRule="atLeast"/>
          <w:jc w:val="center"/>
        </w:trPr>
        <w:tc>
          <w:tcPr>
            <w:tcW w:w="1404" w:type="dxa"/>
            <w:tcBorders>
              <w:top w:val="single" w:color="4BACC6" w:sz="8" w:space="0"/>
              <w:left w:val="single" w:color="4BACC6" w:sz="8" w:space="0"/>
              <w:bottom w:val="single" w:color="4BACC6" w:sz="8" w:space="0"/>
              <w:right w:val="dotted" w:color="auto" w:sz="4" w:space="0"/>
            </w:tcBorders>
            <w:shd w:val="clear" w:color="auto" w:fill="FFFFFF"/>
            <w:vAlign w:val="center"/>
          </w:tcPr>
          <w:p>
            <w:pPr>
              <w:wordWrap w:val="0"/>
              <w:ind w:firstLine="180" w:firstLineChars="100"/>
              <w:jc w:val="both"/>
              <w:rPr>
                <w:rFonts w:eastAsia="等线"/>
                <w:color w:val="000000"/>
                <w:sz w:val="18"/>
                <w:szCs w:val="18"/>
                <w:lang w:eastAsia="zh-CN"/>
              </w:rPr>
            </w:pPr>
            <w:r>
              <w:rPr>
                <w:rFonts w:hint="eastAsia" w:eastAsia="等线"/>
                <w:color w:val="000000"/>
                <w:sz w:val="18"/>
                <w:szCs w:val="18"/>
                <w:lang w:eastAsia="zh-CN"/>
              </w:rPr>
              <w:t>Hybrid PTRS</w:t>
            </w:r>
          </w:p>
        </w:tc>
        <w:tc>
          <w:tcPr>
            <w:tcW w:w="193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11856</w:t>
            </w:r>
          </w:p>
        </w:tc>
        <w:tc>
          <w:tcPr>
            <w:tcW w:w="1511" w:type="dxa"/>
            <w:tcBorders>
              <w:top w:val="single" w:color="4BACC6" w:sz="8" w:space="0"/>
              <w:left w:val="dotted" w:color="auto" w:sz="0" w:space="0"/>
              <w:bottom w:val="single" w:color="4BACC6" w:sz="8" w:space="0"/>
              <w:right w:val="dotted" w:color="auto" w:sz="4"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8292</w:t>
            </w:r>
          </w:p>
        </w:tc>
        <w:tc>
          <w:tcPr>
            <w:tcW w:w="1500" w:type="dxa"/>
            <w:tcBorders>
              <w:top w:val="single" w:color="4BACC6" w:sz="8" w:space="0"/>
              <w:left w:val="dotted" w:color="auto" w:sz="0" w:space="0"/>
              <w:bottom w:val="single" w:color="4BACC6" w:sz="8" w:space="0"/>
              <w:right w:val="single" w:color="4BACC6" w:sz="8" w:space="0"/>
            </w:tcBorders>
            <w:shd w:val="clear" w:color="auto" w:fill="FFFFFF"/>
            <w:vAlign w:val="center"/>
          </w:tcPr>
          <w:p>
            <w:pPr>
              <w:jc w:val="center"/>
              <w:rPr>
                <w:rFonts w:eastAsia="等线"/>
                <w:color w:val="000000"/>
                <w:sz w:val="18"/>
                <w:szCs w:val="18"/>
                <w:lang w:eastAsia="zh-CN"/>
              </w:rPr>
            </w:pPr>
            <w:r>
              <w:rPr>
                <w:rFonts w:hint="eastAsia" w:eastAsia="等线"/>
                <w:color w:val="000000"/>
                <w:sz w:val="18"/>
                <w:szCs w:val="18"/>
                <w:lang w:eastAsia="zh-CN"/>
              </w:rPr>
              <w:t>1</w:t>
            </w:r>
          </w:p>
        </w:tc>
      </w:tr>
    </w:tbl>
    <w:p>
      <w:pPr>
        <w:rPr>
          <w:rFonts w:eastAsia="宋体"/>
          <w:b/>
          <w:bCs/>
          <w:i/>
          <w:iCs/>
          <w:lang w:eastAsia="zh-CN"/>
        </w:rPr>
      </w:pPr>
    </w:p>
    <w:p>
      <w:r>
        <w:rPr>
          <w:rFonts w:hint="eastAsia" w:eastAsia="宋体"/>
          <w:b/>
          <w:bCs/>
          <w:lang w:eastAsia="zh-CN"/>
        </w:rPr>
        <w:t>Observation 2: The calculation complexity of ICI compensation based on legacy PTRS, block PTRS and hybrid PTRS is similar.</w:t>
      </w:r>
    </w:p>
    <w:p>
      <w:pPr>
        <w:pStyle w:val="32"/>
      </w:pPr>
    </w:p>
    <w:p>
      <w:pPr>
        <w:pStyle w:val="3"/>
        <w:numPr>
          <w:ilvl w:val="1"/>
          <w:numId w:val="13"/>
        </w:numPr>
        <w:rPr>
          <w:rFonts w:eastAsia="宋体"/>
          <w:lang w:val="en-US" w:eastAsia="zh-CN"/>
        </w:rPr>
      </w:pPr>
      <w:bookmarkStart w:id="3" w:name="_Toc53775907"/>
      <w:r>
        <w:rPr>
          <w:rFonts w:hint="eastAsia" w:eastAsia="宋体"/>
          <w:lang w:val="en-US" w:eastAsia="zh-CN"/>
        </w:rPr>
        <w:t xml:space="preserve"> </w:t>
      </w:r>
      <w:r>
        <w:rPr>
          <w:rFonts w:eastAsia="宋体"/>
          <w:lang w:val="en-US" w:eastAsia="zh-CN"/>
        </w:rPr>
        <w:t xml:space="preserve">DMRS </w:t>
      </w:r>
      <w:bookmarkEnd w:id="3"/>
    </w:p>
    <w:bookmarkEnd w:id="1"/>
    <w:p>
      <w:pPr>
        <w:rPr>
          <w:rFonts w:eastAsia="宋体"/>
          <w:lang w:eastAsia="zh-CN"/>
        </w:rPr>
      </w:pPr>
      <w:r>
        <w:rPr>
          <w:rFonts w:hint="eastAsia" w:eastAsia="宋体"/>
          <w:lang w:eastAsia="zh-CN"/>
        </w:rPr>
        <w:t>In above 52.6GHz SI phase, some companies studied and evaluated DMRS enhancement in frequency domain, i.e. extend the DMRS in every RE in order to perform channel estimation properly. The reason to raise this thought is that, in 60GHz with larger subcarrier spacing</w:t>
      </w:r>
      <w:r>
        <w:rPr>
          <w:rFonts w:eastAsia="宋体"/>
          <w:lang w:eastAsia="zh-CN"/>
        </w:rPr>
        <w:t xml:space="preserve"> </w:t>
      </w:r>
      <w:r>
        <w:rPr>
          <w:rFonts w:hint="eastAsia" w:eastAsia="宋体"/>
          <w:lang w:eastAsia="zh-CN"/>
        </w:rPr>
        <w:t>(e.g.960kHz), Rel-15 DMRS density may not be sufficient to reflect the frequency selection characteristics. In this chapter, it is investigated and evaluated whether enhancement on Rel-15 DMRS is needed or not.</w:t>
      </w:r>
    </w:p>
    <w:p>
      <w:pPr>
        <w:jc w:val="center"/>
      </w:pPr>
      <w:r>
        <w:rPr>
          <w:lang w:eastAsia="zh-CN"/>
        </w:rPr>
        <w:drawing>
          <wp:inline distT="0" distB="0" distL="114300" distR="114300">
            <wp:extent cx="2860040" cy="1826260"/>
            <wp:effectExtent l="0" t="0" r="16510" b="254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47"/>
                    <a:stretch>
                      <a:fillRect/>
                    </a:stretch>
                  </pic:blipFill>
                  <pic:spPr>
                    <a:xfrm>
                      <a:off x="0" y="0"/>
                      <a:ext cx="2860040" cy="1826260"/>
                    </a:xfrm>
                    <a:prstGeom prst="rect">
                      <a:avLst/>
                    </a:prstGeom>
                    <a:noFill/>
                    <a:ln>
                      <a:noFill/>
                    </a:ln>
                  </pic:spPr>
                </pic:pic>
              </a:graphicData>
            </a:graphic>
          </wp:inline>
        </w:drawing>
      </w:r>
    </w:p>
    <w:p>
      <w:pPr>
        <w:jc w:val="center"/>
        <w:rPr>
          <w:rFonts w:eastAsia="宋体"/>
          <w:lang w:eastAsia="zh-CN"/>
        </w:rPr>
      </w:pPr>
      <w:r>
        <w:rPr>
          <w:rFonts w:hint="eastAsia" w:eastAsia="宋体"/>
          <w:lang w:eastAsia="zh-CN"/>
        </w:rPr>
        <w:t>Figure 2.2-1 Rel-15 DMRS Type 1 and new DMRS pattern</w:t>
      </w:r>
    </w:p>
    <w:p>
      <w:pPr>
        <w:jc w:val="both"/>
        <w:rPr>
          <w:rFonts w:eastAsia="宋体"/>
          <w:lang w:eastAsia="zh-CN"/>
        </w:rPr>
      </w:pPr>
      <w:r>
        <w:rPr>
          <w:rFonts w:hint="eastAsia" w:eastAsia="宋体"/>
          <w:lang w:eastAsia="zh-CN"/>
        </w:rPr>
        <w:t>Consider 400MHz bandwidth with 480kHz and 960kHz SCS, 64QAM modulation order, the performance of Rel-15 DMRS Type 1 and new DMRS pattern with low and high delay spread are shown in Figure 2.2-4. In order to get rid of the impact of phase noise in high frequency, it is assumed ideal PN estimation and compensation in the evaluation of DMRS patterns.</w:t>
      </w:r>
    </w:p>
    <w:p>
      <w:pPr>
        <w:jc w:val="both"/>
        <w:rPr>
          <w:rFonts w:eastAsia="宋体"/>
          <w:lang w:eastAsia="zh-CN"/>
        </w:rPr>
      </w:pPr>
    </w:p>
    <w:p>
      <w:pPr>
        <w:jc w:val="both"/>
        <w:rPr>
          <w:rFonts w:eastAsia="宋体"/>
          <w:lang w:eastAsia="zh-CN"/>
        </w:rPr>
      </w:pPr>
      <w:r>
        <w:rPr>
          <w:szCs w:val="24"/>
          <w:lang w:eastAsia="zh-CN"/>
        </w:rPr>
        <w:drawing>
          <wp:inline distT="0" distB="0" distL="114300" distR="114300">
            <wp:extent cx="2875280" cy="2380615"/>
            <wp:effectExtent l="0" t="0" r="0" b="63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48"/>
                    <a:stretch>
                      <a:fillRect/>
                    </a:stretch>
                  </pic:blipFill>
                  <pic:spPr>
                    <a:xfrm>
                      <a:off x="0" y="0"/>
                      <a:ext cx="2875280" cy="2380615"/>
                    </a:xfrm>
                    <a:prstGeom prst="rect">
                      <a:avLst/>
                    </a:prstGeom>
                    <a:noFill/>
                    <a:ln>
                      <a:noFill/>
                    </a:ln>
                  </pic:spPr>
                </pic:pic>
              </a:graphicData>
            </a:graphic>
          </wp:inline>
        </w:drawing>
      </w:r>
      <w:r>
        <w:rPr>
          <w:lang w:eastAsia="zh-CN"/>
        </w:rPr>
        <w:drawing>
          <wp:inline distT="0" distB="0" distL="114300" distR="114300">
            <wp:extent cx="2837815" cy="2374900"/>
            <wp:effectExtent l="0" t="0" r="0" b="635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49"/>
                    <a:stretch>
                      <a:fillRect/>
                    </a:stretch>
                  </pic:blipFill>
                  <pic:spPr>
                    <a:xfrm>
                      <a:off x="0" y="0"/>
                      <a:ext cx="2837815" cy="2374900"/>
                    </a:xfrm>
                    <a:prstGeom prst="rect">
                      <a:avLst/>
                    </a:prstGeom>
                    <a:noFill/>
                    <a:ln>
                      <a:noFill/>
                    </a:ln>
                  </pic:spPr>
                </pic:pic>
              </a:graphicData>
            </a:graphic>
          </wp:inline>
        </w:drawing>
      </w:r>
    </w:p>
    <w:p>
      <w:pPr>
        <w:numPr>
          <w:ilvl w:val="255"/>
          <w:numId w:val="0"/>
        </w:numPr>
        <w:ind w:firstLine="1400" w:firstLineChars="700"/>
        <w:jc w:val="both"/>
        <w:rPr>
          <w:rFonts w:eastAsia="宋体"/>
          <w:lang w:eastAsia="zh-CN"/>
        </w:rPr>
      </w:pPr>
      <w:r>
        <w:rPr>
          <w:rFonts w:hint="eastAsia" w:eastAsia="宋体"/>
          <w:lang w:eastAsia="zh-CN"/>
        </w:rPr>
        <w:t>(a) TDL-A 5ns 480kHz                                                     (b) TDL-A 20ns 480kHz</w:t>
      </w:r>
    </w:p>
    <w:p>
      <w:r>
        <w:rPr>
          <w:lang w:eastAsia="zh-CN"/>
        </w:rPr>
        <w:drawing>
          <wp:inline distT="0" distB="0" distL="114300" distR="114300">
            <wp:extent cx="2850515" cy="2224405"/>
            <wp:effectExtent l="0" t="0" r="0" b="4445"/>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50"/>
                    <a:stretch>
                      <a:fillRect/>
                    </a:stretch>
                  </pic:blipFill>
                  <pic:spPr>
                    <a:xfrm>
                      <a:off x="0" y="0"/>
                      <a:ext cx="2850515" cy="2224405"/>
                    </a:xfrm>
                    <a:prstGeom prst="rect">
                      <a:avLst/>
                    </a:prstGeom>
                    <a:noFill/>
                    <a:ln>
                      <a:noFill/>
                    </a:ln>
                  </pic:spPr>
                </pic:pic>
              </a:graphicData>
            </a:graphic>
          </wp:inline>
        </w:drawing>
      </w:r>
      <w:r>
        <w:rPr>
          <w:lang w:eastAsia="zh-CN"/>
        </w:rPr>
        <w:drawing>
          <wp:inline distT="0" distB="0" distL="114300" distR="114300">
            <wp:extent cx="2767330" cy="223710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51"/>
                    <a:stretch>
                      <a:fillRect/>
                    </a:stretch>
                  </pic:blipFill>
                  <pic:spPr>
                    <a:xfrm>
                      <a:off x="0" y="0"/>
                      <a:ext cx="2767330" cy="2237105"/>
                    </a:xfrm>
                    <a:prstGeom prst="rect">
                      <a:avLst/>
                    </a:prstGeom>
                    <a:noFill/>
                    <a:ln>
                      <a:noFill/>
                    </a:ln>
                  </pic:spPr>
                </pic:pic>
              </a:graphicData>
            </a:graphic>
          </wp:inline>
        </w:drawing>
      </w:r>
    </w:p>
    <w:p>
      <w:pPr>
        <w:numPr>
          <w:ilvl w:val="255"/>
          <w:numId w:val="0"/>
        </w:numPr>
        <w:rPr>
          <w:rFonts w:eastAsia="宋体"/>
          <w:lang w:eastAsia="zh-CN"/>
        </w:rPr>
      </w:pPr>
      <w:r>
        <w:rPr>
          <w:rFonts w:hint="eastAsia" w:eastAsia="宋体"/>
          <w:lang w:eastAsia="zh-CN"/>
        </w:rPr>
        <w:t xml:space="preserve">                    (c) TDL-A 5ns 960kHz                                                        (d) TDL-A 20ns 960kHz </w:t>
      </w:r>
    </w:p>
    <w:p>
      <w:pPr>
        <w:jc w:val="both"/>
        <w:rPr>
          <w:rFonts w:eastAsia="宋体"/>
          <w:lang w:eastAsia="zh-CN"/>
        </w:rPr>
      </w:pPr>
    </w:p>
    <w:p>
      <w:pPr>
        <w:jc w:val="center"/>
        <w:rPr>
          <w:rFonts w:eastAsia="宋体"/>
          <w:lang w:eastAsia="zh-CN"/>
        </w:rPr>
      </w:pPr>
      <w:r>
        <w:rPr>
          <w:rFonts w:hint="eastAsia" w:eastAsia="宋体"/>
          <w:lang w:eastAsia="zh-CN"/>
        </w:rPr>
        <w:t>Figure 2.2-4 performance of Rel-15 DMRS Type 1 and new DMRS pattern</w:t>
      </w:r>
    </w:p>
    <w:p>
      <w:pPr>
        <w:jc w:val="both"/>
        <w:rPr>
          <w:rFonts w:eastAsia="宋体"/>
          <w:lang w:eastAsia="zh-CN"/>
        </w:rPr>
      </w:pPr>
      <w:r>
        <w:rPr>
          <w:rFonts w:hint="eastAsia" w:eastAsia="宋体"/>
          <w:lang w:eastAsia="zh-CN"/>
        </w:rPr>
        <w:t>As illustrated in Figure 2.2-4, for 480kHz and 960kHz, new DMRS pattern with higher DMRS density is slightly better(less than 1dB gain) than Rel-15 DMRS Type 1, both in low delay spread and high delay spread, so there is no need to further enhance DMRS patterns.</w:t>
      </w:r>
    </w:p>
    <w:p>
      <w:pPr>
        <w:jc w:val="both"/>
        <w:rPr>
          <w:rFonts w:eastAsia="宋体"/>
          <w:b/>
          <w:bCs/>
          <w:lang w:eastAsia="zh-CN"/>
        </w:rPr>
      </w:pPr>
      <w:r>
        <w:rPr>
          <w:rFonts w:hint="eastAsia" w:eastAsia="宋体"/>
          <w:b/>
          <w:bCs/>
          <w:lang w:eastAsia="zh-CN"/>
        </w:rPr>
        <w:t xml:space="preserve">Observation 3: Rel-15 DMRS Type 1 and </w:t>
      </w:r>
      <w:r>
        <w:rPr>
          <w:rFonts w:eastAsia="宋体"/>
          <w:b/>
          <w:bCs/>
          <w:lang w:eastAsia="zh-CN"/>
        </w:rPr>
        <w:t xml:space="preserve">the </w:t>
      </w:r>
      <w:r>
        <w:rPr>
          <w:rFonts w:hint="eastAsia" w:eastAsia="宋体"/>
          <w:b/>
          <w:bCs/>
          <w:lang w:eastAsia="zh-CN"/>
        </w:rPr>
        <w:t>new DMRS pattern</w:t>
      </w:r>
      <w:r>
        <w:rPr>
          <w:rFonts w:eastAsia="宋体"/>
          <w:b/>
          <w:bCs/>
          <w:lang w:eastAsia="zh-CN"/>
        </w:rPr>
        <w:t xml:space="preserve"> that fully occupied in frequency domain</w:t>
      </w:r>
      <w:r>
        <w:rPr>
          <w:rFonts w:hint="eastAsia" w:eastAsia="宋体"/>
          <w:b/>
          <w:bCs/>
          <w:lang w:eastAsia="zh-CN"/>
        </w:rPr>
        <w:t xml:space="preserve"> show comparable performance.</w:t>
      </w:r>
    </w:p>
    <w:p>
      <w:pPr>
        <w:pStyle w:val="3"/>
        <w:numPr>
          <w:ilvl w:val="1"/>
          <w:numId w:val="13"/>
        </w:numPr>
        <w:rPr>
          <w:rFonts w:eastAsia="宋体"/>
          <w:lang w:val="en-US" w:eastAsia="zh-CN"/>
        </w:rPr>
      </w:pPr>
      <w:r>
        <w:rPr>
          <w:rFonts w:hint="eastAsia" w:eastAsia="宋体"/>
          <w:lang w:val="en-US" w:eastAsia="zh-CN"/>
        </w:rPr>
        <w:t xml:space="preserve"> </w:t>
      </w:r>
      <w:r>
        <w:rPr>
          <w:rFonts w:eastAsia="宋体"/>
          <w:lang w:val="en-US" w:eastAsia="zh-CN"/>
        </w:rPr>
        <w:t xml:space="preserve">PUCCH </w:t>
      </w:r>
    </w:p>
    <w:p>
      <w:pPr>
        <w:numPr>
          <w:ilvl w:val="0"/>
          <w:numId w:val="19"/>
        </w:numPr>
        <w:rPr>
          <w:b/>
          <w:bCs/>
          <w:lang w:eastAsia="zh-CN"/>
        </w:rPr>
      </w:pPr>
      <w:r>
        <w:rPr>
          <w:rFonts w:hint="eastAsia"/>
          <w:b/>
          <w:bCs/>
          <w:lang w:eastAsia="zh-CN"/>
        </w:rPr>
        <w:t>CM calculation</w:t>
      </w:r>
    </w:p>
    <w:p>
      <w:pPr>
        <w:pStyle w:val="86"/>
        <w:tabs>
          <w:tab w:val="left" w:pos="425"/>
        </w:tabs>
        <w:spacing w:before="180"/>
        <w:ind w:left="0" w:firstLine="0"/>
        <w:rPr>
          <w:lang w:eastAsia="zh-CN"/>
        </w:rPr>
      </w:pPr>
      <w:r>
        <w:rPr>
          <w:rFonts w:hint="eastAsia"/>
          <w:lang w:eastAsia="zh-CN"/>
        </w:rPr>
        <w:t>In order to minimize the spec impact, it is better to reuse the current design. So we firstly calculate the CM of sequence using the Rel-15 CGS of length 12 with X times repetition directly. And the CCDF of CM is shown in Figure 2.3-1.</w:t>
      </w:r>
    </w:p>
    <w:p>
      <w:pPr>
        <w:pStyle w:val="86"/>
        <w:tabs>
          <w:tab w:val="left" w:pos="425"/>
        </w:tabs>
        <w:spacing w:before="180"/>
        <w:ind w:left="0" w:firstLine="0"/>
        <w:jc w:val="center"/>
      </w:pPr>
      <w:r>
        <w:rPr>
          <w:lang w:eastAsia="zh-CN"/>
        </w:rPr>
        <w:drawing>
          <wp:inline distT="0" distB="0" distL="114300" distR="114300">
            <wp:extent cx="3067685" cy="2355215"/>
            <wp:effectExtent l="0" t="0" r="1841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2"/>
                    <a:stretch>
                      <a:fillRect/>
                    </a:stretch>
                  </pic:blipFill>
                  <pic:spPr>
                    <a:xfrm>
                      <a:off x="0" y="0"/>
                      <a:ext cx="3067685" cy="2355215"/>
                    </a:xfrm>
                    <a:prstGeom prst="rect">
                      <a:avLst/>
                    </a:prstGeom>
                    <a:noFill/>
                    <a:ln w="9525">
                      <a:noFill/>
                    </a:ln>
                  </pic:spPr>
                </pic:pic>
              </a:graphicData>
            </a:graphic>
          </wp:inline>
        </w:drawing>
      </w:r>
    </w:p>
    <w:p>
      <w:pPr>
        <w:pStyle w:val="86"/>
        <w:tabs>
          <w:tab w:val="left" w:pos="425"/>
        </w:tabs>
        <w:spacing w:before="180"/>
        <w:ind w:left="0" w:firstLine="0"/>
        <w:jc w:val="center"/>
        <w:rPr>
          <w:lang w:eastAsia="zh-CN"/>
        </w:rPr>
      </w:pPr>
      <w:r>
        <w:rPr>
          <w:rFonts w:hint="eastAsia"/>
          <w:lang w:eastAsia="zh-CN"/>
        </w:rPr>
        <w:t>Figure 2.3-1 CM of direct-CGS repetition with different length</w:t>
      </w:r>
    </w:p>
    <w:p>
      <w:pPr>
        <w:pStyle w:val="86"/>
        <w:tabs>
          <w:tab w:val="left" w:pos="425"/>
        </w:tabs>
        <w:spacing w:before="180"/>
        <w:ind w:left="0" w:firstLine="0"/>
        <w:rPr>
          <w:lang w:eastAsia="zh-CN"/>
        </w:rPr>
      </w:pPr>
      <w:r>
        <w:rPr>
          <w:rFonts w:hint="eastAsia"/>
          <w:lang w:eastAsia="zh-CN"/>
        </w:rPr>
        <w:t>As shown in Figure 2.3-1, the CM value increases rapidly with the PRB number. And the CM at 95</w:t>
      </w:r>
      <w:r>
        <w:rPr>
          <w:rFonts w:hint="eastAsia"/>
          <w:vertAlign w:val="superscript"/>
          <w:lang w:eastAsia="zh-CN"/>
        </w:rPr>
        <w:t>th</w:t>
      </w:r>
      <w:r>
        <w:rPr>
          <w:rFonts w:hint="eastAsia"/>
          <w:lang w:eastAsia="zh-CN"/>
        </w:rPr>
        <w:t xml:space="preserve"> percentile is about 3.6 dB even for 2 PRBs. It</w:t>
      </w:r>
      <w:r>
        <w:rPr>
          <w:lang w:eastAsia="zh-CN"/>
        </w:rPr>
        <w:t>’</w:t>
      </w:r>
      <w:r>
        <w:rPr>
          <w:rFonts w:hint="eastAsia"/>
          <w:lang w:eastAsia="zh-CN"/>
        </w:rPr>
        <w:t>s obvious that direct-CGS repetition sequence is not appropriate due to the high CM values for multiple PRBs, therefore this sequence is not considered in the analysis in this section..</w:t>
      </w:r>
    </w:p>
    <w:p>
      <w:pPr>
        <w:pStyle w:val="86"/>
        <w:tabs>
          <w:tab w:val="left" w:pos="425"/>
        </w:tabs>
        <w:spacing w:before="180"/>
        <w:ind w:left="0" w:firstLine="0"/>
        <w:rPr>
          <w:lang w:eastAsia="zh-CN"/>
        </w:rPr>
      </w:pPr>
      <w:r>
        <w:rPr>
          <w:rFonts w:hint="eastAsia"/>
          <w:lang w:eastAsia="zh-CN"/>
        </w:rPr>
        <w:t>Next in this section, the CM of ZC sequence and CGS extended sequence with different sequence length in granularity of PRBs are calculated and analyzed.</w:t>
      </w:r>
    </w:p>
    <w:p>
      <w:pPr>
        <w:pStyle w:val="32"/>
        <w:widowControl w:val="0"/>
        <w:spacing w:after="0" w:line="360" w:lineRule="auto"/>
        <w:jc w:val="center"/>
      </w:pPr>
      <w:r>
        <w:drawing>
          <wp:inline distT="0" distB="0" distL="114300" distR="114300">
            <wp:extent cx="5964555" cy="2540000"/>
            <wp:effectExtent l="0" t="0" r="1714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3"/>
                    <a:stretch>
                      <a:fillRect/>
                    </a:stretch>
                  </pic:blipFill>
                  <pic:spPr>
                    <a:xfrm>
                      <a:off x="0" y="0"/>
                      <a:ext cx="5964555" cy="2540000"/>
                    </a:xfrm>
                    <a:prstGeom prst="rect">
                      <a:avLst/>
                    </a:prstGeom>
                    <a:noFill/>
                    <a:ln w="9525">
                      <a:noFill/>
                    </a:ln>
                  </pic:spPr>
                </pic:pic>
              </a:graphicData>
            </a:graphic>
          </wp:inline>
        </w:drawing>
      </w:r>
    </w:p>
    <w:p>
      <w:pPr>
        <w:pStyle w:val="32"/>
        <w:widowControl w:val="0"/>
        <w:spacing w:after="0" w:line="360" w:lineRule="auto"/>
        <w:ind w:firstLine="420"/>
        <w:jc w:val="center"/>
      </w:pPr>
      <w:r>
        <w:rPr>
          <w:rFonts w:hint="eastAsia"/>
        </w:rPr>
        <w:t xml:space="preserve">Figure 2.3-2 CM of CGS and ZC for sequences with different length </w:t>
      </w:r>
    </w:p>
    <w:p>
      <w:pPr>
        <w:pStyle w:val="86"/>
        <w:widowControl w:val="0"/>
        <w:tabs>
          <w:tab w:val="left" w:pos="425"/>
        </w:tabs>
        <w:spacing w:before="180" w:after="0" w:line="360" w:lineRule="auto"/>
        <w:ind w:left="0" w:firstLine="0"/>
        <w:jc w:val="both"/>
      </w:pPr>
      <w:r>
        <w:rPr>
          <w:lang w:eastAsia="zh-CN"/>
        </w:rPr>
        <w:t>In Figure 2.3-2, the legend of “CGS extended,RBX” means the sequence is CGS extended sequence , and the cyclic shift increased by a step of 5 from the first PRB to the last PRB, the legend of “ZC,RBX” denotes ZC sequence of low PAPR sequence generation in 38.211. The “RBX” in each legends is the number of PRB.</w:t>
      </w:r>
    </w:p>
    <w:p>
      <w:pPr>
        <w:pStyle w:val="86"/>
        <w:widowControl w:val="0"/>
        <w:tabs>
          <w:tab w:val="left" w:pos="425"/>
        </w:tabs>
        <w:spacing w:before="180" w:after="0" w:line="360" w:lineRule="auto"/>
        <w:ind w:left="0" w:firstLine="0"/>
        <w:jc w:val="both"/>
      </w:pPr>
      <w:r>
        <w:rPr>
          <w:lang w:eastAsia="zh-CN"/>
        </w:rPr>
        <w:t>The CM at 95th percentile is listed in Table 2.3-1.</w:t>
      </w:r>
    </w:p>
    <w:p>
      <w:pPr>
        <w:pStyle w:val="32"/>
        <w:widowControl w:val="0"/>
        <w:spacing w:after="0" w:line="360" w:lineRule="auto"/>
        <w:jc w:val="center"/>
      </w:pPr>
      <w:r>
        <w:rPr>
          <w:rFonts w:hint="eastAsia"/>
        </w:rPr>
        <w:t>Table 2.3-1  CM values at 95</w:t>
      </w:r>
      <w:r>
        <w:rPr>
          <w:rFonts w:hint="eastAsia"/>
          <w:vertAlign w:val="superscript"/>
        </w:rPr>
        <w:t>th</w:t>
      </w:r>
      <w:r>
        <w:rPr>
          <w:rFonts w:hint="eastAsia"/>
        </w:rPr>
        <w:t xml:space="preserve"> percentile of different number of PRBs for CGS and ZC sequence</w:t>
      </w:r>
    </w:p>
    <w:tbl>
      <w:tblPr>
        <w:tblStyle w:val="62"/>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77"/>
        <w:gridCol w:w="675"/>
        <w:gridCol w:w="675"/>
        <w:gridCol w:w="677"/>
        <w:gridCol w:w="675"/>
        <w:gridCol w:w="675"/>
        <w:gridCol w:w="676"/>
        <w:gridCol w:w="676"/>
        <w:gridCol w:w="675"/>
        <w:gridCol w:w="677"/>
        <w:gridCol w:w="677"/>
        <w:gridCol w:w="676"/>
        <w:gridCol w:w="678"/>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675" w:type="dxa"/>
          </w:tcPr>
          <w:p>
            <w:pPr>
              <w:pStyle w:val="32"/>
              <w:widowControl w:val="0"/>
              <w:spacing w:after="0" w:line="360" w:lineRule="auto"/>
              <w:rPr>
                <w:lang w:val="de-DE"/>
              </w:rPr>
            </w:pPr>
            <w:r>
              <w:rPr>
                <w:rFonts w:hint="eastAsia"/>
                <w:lang w:val="de-DE"/>
              </w:rPr>
              <w:t># RB</w:t>
            </w:r>
          </w:p>
        </w:tc>
        <w:tc>
          <w:tcPr>
            <w:tcW w:w="677" w:type="dxa"/>
          </w:tcPr>
          <w:p>
            <w:pPr>
              <w:pStyle w:val="32"/>
              <w:widowControl w:val="0"/>
              <w:spacing w:after="0" w:line="360" w:lineRule="auto"/>
              <w:rPr>
                <w:lang w:val="de-DE"/>
              </w:rPr>
            </w:pPr>
            <w:r>
              <w:rPr>
                <w:rFonts w:hint="eastAsia"/>
                <w:lang w:val="de-DE"/>
              </w:rPr>
              <w:t>2</w:t>
            </w:r>
          </w:p>
        </w:tc>
        <w:tc>
          <w:tcPr>
            <w:tcW w:w="675" w:type="dxa"/>
          </w:tcPr>
          <w:p>
            <w:pPr>
              <w:pStyle w:val="32"/>
              <w:widowControl w:val="0"/>
              <w:spacing w:after="0" w:line="360" w:lineRule="auto"/>
              <w:rPr>
                <w:lang w:val="de-DE"/>
              </w:rPr>
            </w:pPr>
            <w:r>
              <w:rPr>
                <w:rFonts w:hint="eastAsia"/>
                <w:lang w:val="de-DE"/>
              </w:rPr>
              <w:t>4</w:t>
            </w:r>
          </w:p>
        </w:tc>
        <w:tc>
          <w:tcPr>
            <w:tcW w:w="675" w:type="dxa"/>
          </w:tcPr>
          <w:p>
            <w:pPr>
              <w:pStyle w:val="32"/>
              <w:widowControl w:val="0"/>
              <w:spacing w:after="0" w:line="360" w:lineRule="auto"/>
              <w:rPr>
                <w:lang w:val="de-DE"/>
              </w:rPr>
            </w:pPr>
            <w:r>
              <w:rPr>
                <w:rFonts w:hint="eastAsia"/>
                <w:lang w:val="de-DE"/>
              </w:rPr>
              <w:t>6</w:t>
            </w:r>
          </w:p>
        </w:tc>
        <w:tc>
          <w:tcPr>
            <w:tcW w:w="677" w:type="dxa"/>
            <w:shd w:val="clear" w:color="auto" w:fill="auto"/>
          </w:tcPr>
          <w:p>
            <w:pPr>
              <w:pStyle w:val="32"/>
              <w:widowControl w:val="0"/>
              <w:spacing w:after="0" w:line="360" w:lineRule="auto"/>
              <w:rPr>
                <w:lang w:val="de-DE"/>
              </w:rPr>
            </w:pPr>
            <w:r>
              <w:rPr>
                <w:rFonts w:hint="eastAsia"/>
                <w:lang w:val="de-DE"/>
              </w:rPr>
              <w:t>8</w:t>
            </w:r>
          </w:p>
        </w:tc>
        <w:tc>
          <w:tcPr>
            <w:tcW w:w="675" w:type="dxa"/>
            <w:shd w:val="clear" w:color="auto" w:fill="FFFF00"/>
          </w:tcPr>
          <w:p>
            <w:pPr>
              <w:pStyle w:val="32"/>
              <w:widowControl w:val="0"/>
              <w:spacing w:after="0" w:line="360" w:lineRule="auto"/>
              <w:rPr>
                <w:lang w:val="de-DE"/>
              </w:rPr>
            </w:pPr>
            <w:r>
              <w:rPr>
                <w:rFonts w:hint="eastAsia"/>
                <w:lang w:val="de-DE"/>
              </w:rPr>
              <w:t>10</w:t>
            </w:r>
          </w:p>
        </w:tc>
        <w:tc>
          <w:tcPr>
            <w:tcW w:w="675" w:type="dxa"/>
            <w:shd w:val="clear" w:color="auto" w:fill="FFFF00"/>
          </w:tcPr>
          <w:p>
            <w:pPr>
              <w:pStyle w:val="32"/>
              <w:widowControl w:val="0"/>
              <w:spacing w:after="0" w:line="360" w:lineRule="auto"/>
              <w:rPr>
                <w:lang w:val="de-DE"/>
              </w:rPr>
            </w:pPr>
            <w:r>
              <w:rPr>
                <w:rFonts w:hint="eastAsia"/>
                <w:lang w:val="de-DE"/>
              </w:rPr>
              <w:t>12</w:t>
            </w:r>
          </w:p>
        </w:tc>
        <w:tc>
          <w:tcPr>
            <w:tcW w:w="676" w:type="dxa"/>
            <w:shd w:val="clear" w:color="auto" w:fill="FFFF00"/>
          </w:tcPr>
          <w:p>
            <w:pPr>
              <w:pStyle w:val="32"/>
              <w:widowControl w:val="0"/>
              <w:spacing w:after="0" w:line="360" w:lineRule="auto"/>
              <w:rPr>
                <w:lang w:val="de-DE"/>
              </w:rPr>
            </w:pPr>
            <w:r>
              <w:rPr>
                <w:rFonts w:hint="eastAsia"/>
                <w:lang w:val="de-DE"/>
              </w:rPr>
              <w:t>14</w:t>
            </w:r>
          </w:p>
        </w:tc>
        <w:tc>
          <w:tcPr>
            <w:tcW w:w="676" w:type="dxa"/>
            <w:shd w:val="clear" w:color="auto" w:fill="FFFF00"/>
          </w:tcPr>
          <w:p>
            <w:pPr>
              <w:pStyle w:val="32"/>
              <w:widowControl w:val="0"/>
              <w:spacing w:after="0" w:line="360" w:lineRule="auto"/>
              <w:rPr>
                <w:lang w:val="de-DE"/>
              </w:rPr>
            </w:pPr>
            <w:r>
              <w:rPr>
                <w:rFonts w:hint="eastAsia"/>
                <w:lang w:val="de-DE"/>
              </w:rPr>
              <w:t>16</w:t>
            </w:r>
          </w:p>
        </w:tc>
        <w:tc>
          <w:tcPr>
            <w:tcW w:w="675" w:type="dxa"/>
            <w:shd w:val="clear" w:color="auto" w:fill="FFFF00"/>
          </w:tcPr>
          <w:p>
            <w:pPr>
              <w:pStyle w:val="32"/>
              <w:widowControl w:val="0"/>
              <w:spacing w:after="0" w:line="360" w:lineRule="auto"/>
              <w:rPr>
                <w:lang w:val="de-DE"/>
              </w:rPr>
            </w:pPr>
            <w:r>
              <w:rPr>
                <w:rFonts w:hint="eastAsia"/>
                <w:lang w:val="de-DE"/>
              </w:rPr>
              <w:t>20</w:t>
            </w:r>
          </w:p>
        </w:tc>
        <w:tc>
          <w:tcPr>
            <w:tcW w:w="677" w:type="dxa"/>
          </w:tcPr>
          <w:p>
            <w:pPr>
              <w:pStyle w:val="32"/>
              <w:widowControl w:val="0"/>
              <w:spacing w:after="0" w:line="360" w:lineRule="auto"/>
              <w:rPr>
                <w:lang w:val="de-DE"/>
              </w:rPr>
            </w:pPr>
            <w:r>
              <w:rPr>
                <w:rFonts w:hint="eastAsia"/>
                <w:lang w:val="de-DE"/>
              </w:rPr>
              <w:t>24</w:t>
            </w:r>
          </w:p>
        </w:tc>
        <w:tc>
          <w:tcPr>
            <w:tcW w:w="677" w:type="dxa"/>
          </w:tcPr>
          <w:p>
            <w:pPr>
              <w:pStyle w:val="32"/>
              <w:widowControl w:val="0"/>
              <w:spacing w:after="0" w:line="360" w:lineRule="auto"/>
              <w:rPr>
                <w:lang w:val="de-DE"/>
              </w:rPr>
            </w:pPr>
            <w:r>
              <w:rPr>
                <w:rFonts w:hint="eastAsia"/>
                <w:lang w:val="de-DE"/>
              </w:rPr>
              <w:t>28</w:t>
            </w:r>
          </w:p>
        </w:tc>
        <w:tc>
          <w:tcPr>
            <w:tcW w:w="676" w:type="dxa"/>
          </w:tcPr>
          <w:p>
            <w:pPr>
              <w:pStyle w:val="32"/>
              <w:widowControl w:val="0"/>
              <w:spacing w:after="0" w:line="360" w:lineRule="auto"/>
              <w:rPr>
                <w:lang w:val="de-DE"/>
              </w:rPr>
            </w:pPr>
            <w:r>
              <w:rPr>
                <w:rFonts w:hint="eastAsia"/>
                <w:lang w:val="de-DE"/>
              </w:rPr>
              <w:t>32</w:t>
            </w:r>
          </w:p>
        </w:tc>
        <w:tc>
          <w:tcPr>
            <w:tcW w:w="678" w:type="dxa"/>
          </w:tcPr>
          <w:p>
            <w:pPr>
              <w:pStyle w:val="32"/>
              <w:widowControl w:val="0"/>
              <w:spacing w:after="0" w:line="360" w:lineRule="auto"/>
              <w:rPr>
                <w:lang w:val="de-DE"/>
              </w:rPr>
            </w:pPr>
            <w:r>
              <w:rPr>
                <w:rFonts w:hint="eastAsia"/>
                <w:lang w:val="de-DE"/>
              </w:rPr>
              <w:t>36</w:t>
            </w:r>
          </w:p>
        </w:tc>
        <w:tc>
          <w:tcPr>
            <w:tcW w:w="676" w:type="dxa"/>
          </w:tcPr>
          <w:p>
            <w:pPr>
              <w:pStyle w:val="32"/>
              <w:widowControl w:val="0"/>
              <w:spacing w:after="0" w:line="360" w:lineRule="auto"/>
              <w:rPr>
                <w:lang w:val="de-DE"/>
              </w:rPr>
            </w:pPr>
            <w:r>
              <w:rPr>
                <w:rFonts w:hint="eastAsia"/>
                <w:lang w:val="de-D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675" w:type="dxa"/>
          </w:tcPr>
          <w:p>
            <w:pPr>
              <w:pStyle w:val="32"/>
              <w:widowControl w:val="0"/>
              <w:spacing w:after="0" w:line="360" w:lineRule="auto"/>
              <w:rPr>
                <w:lang w:val="de-DE"/>
              </w:rPr>
            </w:pPr>
            <w:r>
              <w:rPr>
                <w:rFonts w:hint="eastAsia"/>
                <w:lang w:val="de-DE"/>
              </w:rPr>
              <w:t>CGS</w:t>
            </w:r>
          </w:p>
        </w:tc>
        <w:tc>
          <w:tcPr>
            <w:tcW w:w="677" w:type="dxa"/>
          </w:tcPr>
          <w:p>
            <w:pPr>
              <w:pStyle w:val="32"/>
              <w:widowControl w:val="0"/>
              <w:spacing w:after="0" w:line="360" w:lineRule="auto"/>
              <w:rPr>
                <w:lang w:val="de-DE"/>
              </w:rPr>
            </w:pPr>
            <w:r>
              <w:rPr>
                <w:rFonts w:hint="eastAsia"/>
                <w:lang w:val="de-DE"/>
              </w:rPr>
              <w:t>2.88</w:t>
            </w:r>
          </w:p>
        </w:tc>
        <w:tc>
          <w:tcPr>
            <w:tcW w:w="675" w:type="dxa"/>
          </w:tcPr>
          <w:p>
            <w:pPr>
              <w:pStyle w:val="32"/>
              <w:widowControl w:val="0"/>
              <w:spacing w:after="0" w:line="360" w:lineRule="auto"/>
              <w:rPr>
                <w:lang w:val="de-DE"/>
              </w:rPr>
            </w:pPr>
            <w:r>
              <w:rPr>
                <w:rFonts w:hint="eastAsia"/>
                <w:lang w:val="de-DE"/>
              </w:rPr>
              <w:t>3.79</w:t>
            </w:r>
          </w:p>
        </w:tc>
        <w:tc>
          <w:tcPr>
            <w:tcW w:w="675" w:type="dxa"/>
          </w:tcPr>
          <w:p>
            <w:pPr>
              <w:pStyle w:val="32"/>
              <w:widowControl w:val="0"/>
              <w:spacing w:after="0" w:line="360" w:lineRule="auto"/>
              <w:rPr>
                <w:lang w:val="de-DE"/>
              </w:rPr>
            </w:pPr>
            <w:r>
              <w:rPr>
                <w:rFonts w:hint="eastAsia"/>
                <w:lang w:val="de-DE"/>
              </w:rPr>
              <w:t>3.2</w:t>
            </w:r>
          </w:p>
        </w:tc>
        <w:tc>
          <w:tcPr>
            <w:tcW w:w="677" w:type="dxa"/>
            <w:shd w:val="clear" w:color="auto" w:fill="auto"/>
          </w:tcPr>
          <w:p>
            <w:pPr>
              <w:pStyle w:val="32"/>
              <w:widowControl w:val="0"/>
              <w:spacing w:after="0" w:line="360" w:lineRule="auto"/>
              <w:rPr>
                <w:lang w:val="de-DE"/>
              </w:rPr>
            </w:pPr>
            <w:r>
              <w:rPr>
                <w:rFonts w:hint="eastAsia"/>
                <w:lang w:val="de-DE"/>
              </w:rPr>
              <w:t>2.38</w:t>
            </w:r>
          </w:p>
        </w:tc>
        <w:tc>
          <w:tcPr>
            <w:tcW w:w="675" w:type="dxa"/>
          </w:tcPr>
          <w:p>
            <w:pPr>
              <w:pStyle w:val="32"/>
              <w:widowControl w:val="0"/>
              <w:spacing w:after="0" w:line="360" w:lineRule="auto"/>
              <w:rPr>
                <w:lang w:val="de-DE"/>
              </w:rPr>
            </w:pPr>
            <w:r>
              <w:rPr>
                <w:rFonts w:hint="eastAsia"/>
                <w:lang w:val="de-DE"/>
              </w:rPr>
              <w:t>1.846</w:t>
            </w:r>
          </w:p>
        </w:tc>
        <w:tc>
          <w:tcPr>
            <w:tcW w:w="675" w:type="dxa"/>
          </w:tcPr>
          <w:p>
            <w:pPr>
              <w:pStyle w:val="32"/>
              <w:widowControl w:val="0"/>
              <w:spacing w:after="0" w:line="360" w:lineRule="auto"/>
              <w:rPr>
                <w:lang w:val="de-DE"/>
              </w:rPr>
            </w:pPr>
            <w:r>
              <w:rPr>
                <w:rFonts w:hint="eastAsia"/>
                <w:lang w:val="de-DE"/>
              </w:rPr>
              <w:t>1.49</w:t>
            </w:r>
          </w:p>
        </w:tc>
        <w:tc>
          <w:tcPr>
            <w:tcW w:w="676" w:type="dxa"/>
          </w:tcPr>
          <w:p>
            <w:pPr>
              <w:pStyle w:val="32"/>
              <w:widowControl w:val="0"/>
              <w:spacing w:after="0" w:line="360" w:lineRule="auto"/>
              <w:rPr>
                <w:lang w:val="de-DE"/>
              </w:rPr>
            </w:pPr>
            <w:r>
              <w:rPr>
                <w:rFonts w:hint="eastAsia"/>
                <w:lang w:val="de-DE"/>
              </w:rPr>
              <w:t>0.99</w:t>
            </w:r>
          </w:p>
        </w:tc>
        <w:tc>
          <w:tcPr>
            <w:tcW w:w="676" w:type="dxa"/>
          </w:tcPr>
          <w:p>
            <w:pPr>
              <w:pStyle w:val="32"/>
              <w:widowControl w:val="0"/>
              <w:spacing w:after="0" w:line="360" w:lineRule="auto"/>
              <w:rPr>
                <w:lang w:val="de-DE"/>
              </w:rPr>
            </w:pPr>
            <w:r>
              <w:rPr>
                <w:rFonts w:hint="eastAsia"/>
                <w:lang w:val="de-DE"/>
              </w:rPr>
              <w:t>1.50</w:t>
            </w:r>
          </w:p>
        </w:tc>
        <w:tc>
          <w:tcPr>
            <w:tcW w:w="675" w:type="dxa"/>
          </w:tcPr>
          <w:p>
            <w:pPr>
              <w:pStyle w:val="32"/>
              <w:widowControl w:val="0"/>
              <w:spacing w:after="0" w:line="360" w:lineRule="auto"/>
              <w:rPr>
                <w:lang w:val="de-DE"/>
              </w:rPr>
            </w:pPr>
            <w:r>
              <w:rPr>
                <w:rFonts w:hint="eastAsia"/>
                <w:lang w:val="de-DE"/>
              </w:rPr>
              <w:t>2.10</w:t>
            </w:r>
          </w:p>
        </w:tc>
        <w:tc>
          <w:tcPr>
            <w:tcW w:w="677" w:type="dxa"/>
          </w:tcPr>
          <w:p>
            <w:pPr>
              <w:pStyle w:val="32"/>
              <w:widowControl w:val="0"/>
              <w:spacing w:after="0" w:line="360" w:lineRule="auto"/>
              <w:rPr>
                <w:lang w:val="de-DE"/>
              </w:rPr>
            </w:pPr>
            <w:r>
              <w:rPr>
                <w:rFonts w:hint="eastAsia"/>
                <w:lang w:val="de-DE"/>
              </w:rPr>
              <w:t>2.34</w:t>
            </w:r>
          </w:p>
        </w:tc>
        <w:tc>
          <w:tcPr>
            <w:tcW w:w="677" w:type="dxa"/>
          </w:tcPr>
          <w:p>
            <w:pPr>
              <w:pStyle w:val="32"/>
              <w:widowControl w:val="0"/>
              <w:spacing w:after="0" w:line="360" w:lineRule="auto"/>
              <w:rPr>
                <w:lang w:val="de-DE"/>
              </w:rPr>
            </w:pPr>
            <w:r>
              <w:rPr>
                <w:rFonts w:hint="eastAsia"/>
                <w:lang w:val="de-DE"/>
              </w:rPr>
              <w:t>3.05</w:t>
            </w:r>
          </w:p>
        </w:tc>
        <w:tc>
          <w:tcPr>
            <w:tcW w:w="676" w:type="dxa"/>
          </w:tcPr>
          <w:p>
            <w:pPr>
              <w:pStyle w:val="32"/>
              <w:widowControl w:val="0"/>
              <w:spacing w:after="0" w:line="360" w:lineRule="auto"/>
              <w:rPr>
                <w:lang w:val="de-DE"/>
              </w:rPr>
            </w:pPr>
            <w:r>
              <w:rPr>
                <w:rFonts w:hint="eastAsia"/>
                <w:lang w:val="de-DE"/>
              </w:rPr>
              <w:t>3.63</w:t>
            </w:r>
          </w:p>
        </w:tc>
        <w:tc>
          <w:tcPr>
            <w:tcW w:w="678" w:type="dxa"/>
          </w:tcPr>
          <w:p>
            <w:pPr>
              <w:pStyle w:val="32"/>
              <w:widowControl w:val="0"/>
              <w:spacing w:after="0" w:line="360" w:lineRule="auto"/>
              <w:rPr>
                <w:lang w:val="de-DE"/>
              </w:rPr>
            </w:pPr>
            <w:r>
              <w:rPr>
                <w:rFonts w:hint="eastAsia"/>
                <w:lang w:val="de-DE"/>
              </w:rPr>
              <w:t>3.96</w:t>
            </w:r>
          </w:p>
        </w:tc>
        <w:tc>
          <w:tcPr>
            <w:tcW w:w="676" w:type="dxa"/>
          </w:tcPr>
          <w:p>
            <w:pPr>
              <w:pStyle w:val="32"/>
              <w:widowControl w:val="0"/>
              <w:spacing w:after="0" w:line="360" w:lineRule="auto"/>
              <w:rPr>
                <w:lang w:val="de-DE"/>
              </w:rPr>
            </w:pPr>
            <w:r>
              <w:rPr>
                <w:rFonts w:hint="eastAsia"/>
                <w:lang w:val="de-DE"/>
              </w:rPr>
              <w:t>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tcPr>
          <w:p>
            <w:pPr>
              <w:pStyle w:val="32"/>
              <w:widowControl w:val="0"/>
              <w:spacing w:after="0" w:line="360" w:lineRule="auto"/>
              <w:rPr>
                <w:lang w:val="de-DE"/>
              </w:rPr>
            </w:pPr>
            <w:r>
              <w:rPr>
                <w:rFonts w:hint="eastAsia"/>
                <w:lang w:val="de-DE"/>
              </w:rPr>
              <w:t>ZC</w:t>
            </w:r>
          </w:p>
        </w:tc>
        <w:tc>
          <w:tcPr>
            <w:tcW w:w="677" w:type="dxa"/>
          </w:tcPr>
          <w:p>
            <w:pPr>
              <w:pStyle w:val="32"/>
              <w:widowControl w:val="0"/>
              <w:spacing w:after="0" w:line="360" w:lineRule="auto"/>
              <w:rPr>
                <w:lang w:val="de-DE"/>
              </w:rPr>
            </w:pPr>
            <w:r>
              <w:rPr>
                <w:rFonts w:hint="eastAsia"/>
                <w:lang w:val="de-DE"/>
              </w:rPr>
              <w:t>2.01</w:t>
            </w:r>
          </w:p>
        </w:tc>
        <w:tc>
          <w:tcPr>
            <w:tcW w:w="675" w:type="dxa"/>
          </w:tcPr>
          <w:p>
            <w:pPr>
              <w:pStyle w:val="32"/>
              <w:widowControl w:val="0"/>
              <w:spacing w:after="0" w:line="360" w:lineRule="auto"/>
              <w:rPr>
                <w:lang w:val="de-DE"/>
              </w:rPr>
            </w:pPr>
            <w:r>
              <w:rPr>
                <w:rFonts w:hint="eastAsia"/>
                <w:lang w:val="de-DE"/>
              </w:rPr>
              <w:t>2.16</w:t>
            </w:r>
          </w:p>
        </w:tc>
        <w:tc>
          <w:tcPr>
            <w:tcW w:w="675" w:type="dxa"/>
          </w:tcPr>
          <w:p>
            <w:pPr>
              <w:pStyle w:val="32"/>
              <w:widowControl w:val="0"/>
              <w:spacing w:after="0" w:line="360" w:lineRule="auto"/>
              <w:rPr>
                <w:lang w:val="de-DE"/>
              </w:rPr>
            </w:pPr>
            <w:r>
              <w:rPr>
                <w:rFonts w:hint="eastAsia"/>
                <w:lang w:val="de-DE"/>
              </w:rPr>
              <w:t>2.24</w:t>
            </w:r>
          </w:p>
        </w:tc>
        <w:tc>
          <w:tcPr>
            <w:tcW w:w="677" w:type="dxa"/>
          </w:tcPr>
          <w:p>
            <w:pPr>
              <w:pStyle w:val="32"/>
              <w:widowControl w:val="0"/>
              <w:spacing w:after="0" w:line="360" w:lineRule="auto"/>
              <w:rPr>
                <w:lang w:val="de-DE"/>
              </w:rPr>
            </w:pPr>
            <w:r>
              <w:rPr>
                <w:rFonts w:hint="eastAsia"/>
                <w:lang w:val="de-DE"/>
              </w:rPr>
              <w:t>1.58</w:t>
            </w:r>
          </w:p>
        </w:tc>
        <w:tc>
          <w:tcPr>
            <w:tcW w:w="675" w:type="dxa"/>
          </w:tcPr>
          <w:p>
            <w:pPr>
              <w:pStyle w:val="32"/>
              <w:widowControl w:val="0"/>
              <w:spacing w:after="0" w:line="360" w:lineRule="auto"/>
              <w:rPr>
                <w:lang w:val="de-DE"/>
              </w:rPr>
            </w:pPr>
            <w:r>
              <w:rPr>
                <w:rFonts w:hint="eastAsia"/>
                <w:lang w:val="de-DE"/>
              </w:rPr>
              <w:t>1.85</w:t>
            </w:r>
          </w:p>
        </w:tc>
        <w:tc>
          <w:tcPr>
            <w:tcW w:w="675" w:type="dxa"/>
          </w:tcPr>
          <w:p>
            <w:pPr>
              <w:pStyle w:val="32"/>
              <w:widowControl w:val="0"/>
              <w:spacing w:after="0" w:line="360" w:lineRule="auto"/>
              <w:rPr>
                <w:lang w:val="de-DE"/>
              </w:rPr>
            </w:pPr>
            <w:r>
              <w:rPr>
                <w:rFonts w:hint="eastAsia"/>
                <w:lang w:val="de-DE"/>
              </w:rPr>
              <w:t>2.07</w:t>
            </w:r>
          </w:p>
        </w:tc>
        <w:tc>
          <w:tcPr>
            <w:tcW w:w="676" w:type="dxa"/>
          </w:tcPr>
          <w:p>
            <w:pPr>
              <w:pStyle w:val="32"/>
              <w:widowControl w:val="0"/>
              <w:spacing w:after="0" w:line="360" w:lineRule="auto"/>
              <w:rPr>
                <w:lang w:val="de-DE"/>
              </w:rPr>
            </w:pPr>
            <w:r>
              <w:rPr>
                <w:rFonts w:hint="eastAsia"/>
                <w:lang w:val="de-DE"/>
              </w:rPr>
              <w:t>2.30</w:t>
            </w:r>
          </w:p>
        </w:tc>
        <w:tc>
          <w:tcPr>
            <w:tcW w:w="676" w:type="dxa"/>
          </w:tcPr>
          <w:p>
            <w:pPr>
              <w:pStyle w:val="32"/>
              <w:widowControl w:val="0"/>
              <w:spacing w:after="0" w:line="360" w:lineRule="auto"/>
              <w:rPr>
                <w:lang w:val="de-DE"/>
              </w:rPr>
            </w:pPr>
            <w:r>
              <w:rPr>
                <w:rFonts w:hint="eastAsia"/>
                <w:lang w:val="de-DE"/>
              </w:rPr>
              <w:t>2.30</w:t>
            </w:r>
          </w:p>
        </w:tc>
        <w:tc>
          <w:tcPr>
            <w:tcW w:w="675" w:type="dxa"/>
          </w:tcPr>
          <w:p>
            <w:pPr>
              <w:pStyle w:val="32"/>
              <w:widowControl w:val="0"/>
              <w:spacing w:after="0" w:line="360" w:lineRule="auto"/>
              <w:rPr>
                <w:lang w:val="de-DE"/>
              </w:rPr>
            </w:pPr>
            <w:r>
              <w:rPr>
                <w:rFonts w:hint="eastAsia"/>
                <w:lang w:val="de-DE"/>
              </w:rPr>
              <w:t>2.30</w:t>
            </w:r>
          </w:p>
        </w:tc>
        <w:tc>
          <w:tcPr>
            <w:tcW w:w="677" w:type="dxa"/>
          </w:tcPr>
          <w:p>
            <w:pPr>
              <w:pStyle w:val="32"/>
              <w:widowControl w:val="0"/>
              <w:spacing w:after="0" w:line="360" w:lineRule="auto"/>
              <w:rPr>
                <w:lang w:val="de-DE"/>
              </w:rPr>
            </w:pPr>
            <w:r>
              <w:rPr>
                <w:rFonts w:hint="eastAsia"/>
                <w:lang w:val="de-DE"/>
              </w:rPr>
              <w:t>2.19</w:t>
            </w:r>
          </w:p>
        </w:tc>
        <w:tc>
          <w:tcPr>
            <w:tcW w:w="677" w:type="dxa"/>
          </w:tcPr>
          <w:p>
            <w:pPr>
              <w:pStyle w:val="32"/>
              <w:widowControl w:val="0"/>
              <w:spacing w:after="0" w:line="360" w:lineRule="auto"/>
              <w:rPr>
                <w:lang w:val="de-DE"/>
              </w:rPr>
            </w:pPr>
            <w:r>
              <w:rPr>
                <w:rFonts w:hint="eastAsia"/>
                <w:lang w:val="de-DE"/>
              </w:rPr>
              <w:t>2.25</w:t>
            </w:r>
          </w:p>
        </w:tc>
        <w:tc>
          <w:tcPr>
            <w:tcW w:w="676" w:type="dxa"/>
          </w:tcPr>
          <w:p>
            <w:pPr>
              <w:pStyle w:val="32"/>
              <w:widowControl w:val="0"/>
              <w:spacing w:after="0" w:line="360" w:lineRule="auto"/>
              <w:rPr>
                <w:lang w:val="de-DE"/>
              </w:rPr>
            </w:pPr>
            <w:r>
              <w:rPr>
                <w:rFonts w:hint="eastAsia"/>
                <w:lang w:val="de-DE"/>
              </w:rPr>
              <w:t>2.37</w:t>
            </w:r>
          </w:p>
        </w:tc>
        <w:tc>
          <w:tcPr>
            <w:tcW w:w="678" w:type="dxa"/>
          </w:tcPr>
          <w:p>
            <w:pPr>
              <w:pStyle w:val="32"/>
              <w:widowControl w:val="0"/>
              <w:spacing w:after="0" w:line="360" w:lineRule="auto"/>
              <w:rPr>
                <w:lang w:val="de-DE"/>
              </w:rPr>
            </w:pPr>
            <w:r>
              <w:rPr>
                <w:rFonts w:hint="eastAsia"/>
                <w:lang w:val="de-DE"/>
              </w:rPr>
              <w:t>2.27</w:t>
            </w:r>
          </w:p>
        </w:tc>
        <w:tc>
          <w:tcPr>
            <w:tcW w:w="676" w:type="dxa"/>
          </w:tcPr>
          <w:p>
            <w:pPr>
              <w:pStyle w:val="32"/>
              <w:widowControl w:val="0"/>
              <w:spacing w:after="0" w:line="360" w:lineRule="auto"/>
              <w:rPr>
                <w:lang w:val="de-DE"/>
              </w:rPr>
            </w:pPr>
            <w:r>
              <w:rPr>
                <w:rFonts w:hint="eastAsia"/>
                <w:lang w:val="de-DE"/>
              </w:rPr>
              <w:t>2.30</w:t>
            </w:r>
          </w:p>
        </w:tc>
      </w:tr>
    </w:tbl>
    <w:p>
      <w:pPr>
        <w:pStyle w:val="32"/>
        <w:widowControl w:val="0"/>
        <w:spacing w:after="0" w:line="360" w:lineRule="auto"/>
      </w:pPr>
      <w:r>
        <w:rPr>
          <w:rFonts w:hint="eastAsia"/>
        </w:rPr>
        <w:t xml:space="preserve">Note: In Table 2.3-1, </w:t>
      </w:r>
      <w:r>
        <w:t>“</w:t>
      </w:r>
      <w:r>
        <w:rPr>
          <w:rFonts w:hint="eastAsia"/>
        </w:rPr>
        <w:t>CGS</w:t>
      </w:r>
      <w:r>
        <w:t>”</w:t>
      </w:r>
      <w:r>
        <w:rPr>
          <w:rFonts w:hint="eastAsia"/>
        </w:rPr>
        <w:t xml:space="preserve"> denotes CGS extended. </w:t>
      </w:r>
    </w:p>
    <w:p>
      <w:pPr>
        <w:pStyle w:val="86"/>
        <w:widowControl w:val="0"/>
        <w:tabs>
          <w:tab w:val="left" w:pos="425"/>
        </w:tabs>
        <w:spacing w:before="180" w:after="0" w:line="360" w:lineRule="auto"/>
        <w:ind w:left="0" w:firstLine="0"/>
        <w:jc w:val="both"/>
      </w:pPr>
      <w:r>
        <w:rPr>
          <w:lang w:eastAsia="zh-CN"/>
        </w:rPr>
        <w:t>From Figure 2.3-2 and Table 2.3-1, it can be seen that, for PRB number 10~20, the 95th percentile CM of “CGS extended” with the solid curve is lower than that of “ZC” with the dash curve. When the number of PRB larger than 20, the 95th percentile CM of CGS extended is increased with the number of PRB, while the CM of ZC sequence is stable.</w:t>
      </w:r>
    </w:p>
    <w:p>
      <w:pPr>
        <w:widowControl w:val="0"/>
        <w:spacing w:line="260" w:lineRule="auto"/>
        <w:jc w:val="both"/>
        <w:rPr>
          <w:rFonts w:eastAsia="宋体"/>
          <w:b/>
          <w:bCs/>
          <w:lang w:eastAsia="zh-CN"/>
        </w:rPr>
      </w:pPr>
      <w:r>
        <w:rPr>
          <w:rFonts w:hint="eastAsia" w:eastAsia="宋体"/>
          <w:b/>
          <w:bCs/>
          <w:lang w:eastAsia="zh-CN"/>
        </w:rPr>
        <w:t>Observation 4</w:t>
      </w:r>
      <w:r>
        <w:rPr>
          <w:rFonts w:eastAsia="宋体"/>
          <w:b/>
          <w:bCs/>
          <w:lang w:eastAsia="zh-CN"/>
        </w:rPr>
        <w:t>:</w:t>
      </w:r>
      <w:r>
        <w:rPr>
          <w:rFonts w:hint="eastAsia" w:eastAsia="宋体"/>
          <w:b/>
          <w:bCs/>
          <w:lang w:eastAsia="zh-CN"/>
        </w:rPr>
        <w:t xml:space="preserve"> </w:t>
      </w:r>
      <w:r>
        <w:rPr>
          <w:rFonts w:eastAsia="宋体"/>
          <w:b/>
          <w:bCs/>
          <w:lang w:eastAsia="zh-CN"/>
        </w:rPr>
        <w:t>T</w:t>
      </w:r>
      <w:r>
        <w:rPr>
          <w:rFonts w:hint="eastAsia" w:eastAsia="宋体"/>
          <w:b/>
          <w:bCs/>
          <w:lang w:eastAsia="zh-CN"/>
        </w:rPr>
        <w:t>he CGS extended sequence has lower CM than ZC sequence</w:t>
      </w:r>
      <w:r>
        <w:rPr>
          <w:rFonts w:eastAsia="宋体"/>
          <w:b/>
          <w:bCs/>
          <w:lang w:eastAsia="zh-CN"/>
        </w:rPr>
        <w:t xml:space="preserve"> when the PRB number is 10~20, while the performance gets worse for other numbers of PRBs</w:t>
      </w:r>
      <w:r>
        <w:rPr>
          <w:rFonts w:hint="eastAsia" w:eastAsia="宋体"/>
          <w:b/>
          <w:bCs/>
          <w:lang w:eastAsia="zh-CN"/>
        </w:rPr>
        <w:t>.</w:t>
      </w:r>
    </w:p>
    <w:p>
      <w:pPr>
        <w:widowControl w:val="0"/>
        <w:spacing w:line="260" w:lineRule="auto"/>
        <w:jc w:val="both"/>
        <w:rPr>
          <w:rFonts w:eastAsia="宋体"/>
          <w:b/>
          <w:bCs/>
          <w:lang w:eastAsia="zh-CN"/>
        </w:rPr>
      </w:pPr>
      <w:r>
        <w:rPr>
          <w:rFonts w:hint="eastAsia" w:eastAsia="宋体"/>
          <w:b/>
          <w:bCs/>
          <w:lang w:eastAsia="zh-CN"/>
        </w:rPr>
        <w:t>Observation 5</w:t>
      </w:r>
      <w:r>
        <w:rPr>
          <w:rFonts w:eastAsia="宋体"/>
          <w:b/>
          <w:bCs/>
          <w:lang w:eastAsia="zh-CN"/>
        </w:rPr>
        <w:t>:</w:t>
      </w:r>
      <w:r>
        <w:rPr>
          <w:rFonts w:hint="eastAsia" w:eastAsia="宋体"/>
          <w:b/>
          <w:bCs/>
          <w:lang w:eastAsia="zh-CN"/>
        </w:rPr>
        <w:t xml:space="preserve"> The CM of ZC sequence is always kept under 2.5dB with different PRB number.</w:t>
      </w:r>
    </w:p>
    <w:p>
      <w:pPr>
        <w:numPr>
          <w:ilvl w:val="0"/>
          <w:numId w:val="19"/>
        </w:numPr>
        <w:rPr>
          <w:b/>
          <w:bCs/>
          <w:lang w:eastAsia="zh-CN"/>
        </w:rPr>
      </w:pPr>
      <w:r>
        <w:rPr>
          <w:rFonts w:hint="eastAsia"/>
          <w:b/>
          <w:bCs/>
          <w:lang w:eastAsia="zh-CN"/>
        </w:rPr>
        <w:t>Detection performance</w:t>
      </w:r>
    </w:p>
    <w:p>
      <w:pPr>
        <w:widowControl w:val="0"/>
        <w:spacing w:line="260" w:lineRule="auto"/>
        <w:jc w:val="both"/>
        <w:rPr>
          <w:lang w:eastAsia="zh-CN"/>
        </w:rPr>
      </w:pPr>
      <w:r>
        <w:rPr>
          <w:rFonts w:hint="eastAsia"/>
          <w:lang w:eastAsia="zh-CN"/>
        </w:rPr>
        <w:t>The detection performance is shown in Figure 2.3-3, and the FAR is kept under 1%. The key simulation parameters are listed in Table 2.3-2.</w:t>
      </w:r>
    </w:p>
    <w:p>
      <w:pPr>
        <w:jc w:val="center"/>
        <w:rPr>
          <w:lang w:eastAsia="zh-CN"/>
        </w:rPr>
      </w:pPr>
      <w:r>
        <w:rPr>
          <w:rFonts w:hint="eastAsia"/>
          <w:lang w:eastAsia="zh-CN"/>
        </w:rPr>
        <w:t>Table 2.3-2 LLS simulation parameters</w:t>
      </w:r>
    </w:p>
    <w:tbl>
      <w:tblPr>
        <w:tblStyle w:val="62"/>
        <w:tblW w:w="66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82"/>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pStyle w:val="96"/>
              <w:snapToGrid w:val="0"/>
              <w:rPr>
                <w:lang w:val="en-US"/>
              </w:rPr>
            </w:pPr>
            <w:r>
              <w:rPr>
                <w:szCs w:val="22"/>
                <w:lang w:val="en-US"/>
              </w:rPr>
              <w:t>Parameters</w:t>
            </w:r>
          </w:p>
        </w:tc>
        <w:tc>
          <w:tcPr>
            <w:tcW w:w="3419" w:type="dxa"/>
            <w:gridSpan w:val="2"/>
          </w:tcPr>
          <w:p>
            <w:pPr>
              <w:pStyle w:val="96"/>
              <w:snapToGrid w:val="0"/>
              <w:rPr>
                <w:lang w:val="en-US"/>
              </w:rPr>
            </w:pPr>
            <w:r>
              <w:rPr>
                <w:rFonts w:hint="eastAsia"/>
                <w:szCs w:val="22"/>
                <w:lang w:val="en-US"/>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37" w:type="dxa"/>
            <w:gridSpan w:val="2"/>
          </w:tcPr>
          <w:p>
            <w:pPr>
              <w:snapToGrid w:val="0"/>
              <w:spacing w:after="0"/>
              <w:rPr>
                <w:rFonts w:ascii="Calibri" w:hAnsi="Calibri"/>
                <w:lang w:val="de-DE"/>
              </w:rPr>
            </w:pPr>
            <w:r>
              <w:rPr>
                <w:rFonts w:ascii="Calibri" w:hAnsi="Calibri"/>
                <w:lang w:val="de-DE"/>
              </w:rPr>
              <w:t>Carrier Frequency</w:t>
            </w:r>
          </w:p>
        </w:tc>
        <w:tc>
          <w:tcPr>
            <w:tcW w:w="3337" w:type="dxa"/>
          </w:tcPr>
          <w:p>
            <w:pPr>
              <w:snapToGrid w:val="0"/>
              <w:spacing w:after="0"/>
              <w:rPr>
                <w:rFonts w:ascii="Calibri" w:hAnsi="Calibri" w:eastAsia="宋体"/>
                <w:lang w:val="de-DE" w:eastAsia="zh-CN"/>
              </w:rPr>
            </w:pPr>
            <w:r>
              <w:rPr>
                <w:rFonts w:hint="eastAsia" w:ascii="Calibri" w:hAnsi="Calibri" w:eastAsia="宋体"/>
                <w:lang w:val="de-DE"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37" w:type="dxa"/>
            <w:gridSpan w:val="2"/>
          </w:tcPr>
          <w:p>
            <w:pPr>
              <w:snapToGrid w:val="0"/>
              <w:spacing w:after="0"/>
              <w:rPr>
                <w:rFonts w:ascii="Calibri" w:hAnsi="Calibri" w:eastAsia="宋体"/>
                <w:lang w:val="de-DE" w:eastAsia="zh-CN"/>
              </w:rPr>
            </w:pPr>
            <w:r>
              <w:rPr>
                <w:rFonts w:hint="eastAsia" w:ascii="Calibri" w:hAnsi="Calibri" w:eastAsia="宋体"/>
                <w:lang w:val="de-DE" w:eastAsia="zh-CN"/>
              </w:rPr>
              <w:t>Sub-carrier spacing</w:t>
            </w:r>
          </w:p>
        </w:tc>
        <w:tc>
          <w:tcPr>
            <w:tcW w:w="3337" w:type="dxa"/>
          </w:tcPr>
          <w:p>
            <w:pPr>
              <w:snapToGrid w:val="0"/>
              <w:spacing w:after="0"/>
              <w:rPr>
                <w:rFonts w:ascii="Calibri" w:hAnsi="Calibri" w:eastAsia="宋体"/>
                <w:lang w:val="de-DE" w:eastAsia="zh-CN"/>
              </w:rPr>
            </w:pPr>
            <w:r>
              <w:rPr>
                <w:rFonts w:hint="eastAsia" w:ascii="Calibri" w:hAnsi="Calibri" w:eastAsia="宋体"/>
                <w:lang w:val="de-DE" w:eastAsia="zh-CN"/>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37" w:type="dxa"/>
            <w:gridSpan w:val="2"/>
          </w:tcPr>
          <w:p>
            <w:pPr>
              <w:snapToGrid w:val="0"/>
              <w:spacing w:after="0"/>
              <w:rPr>
                <w:rFonts w:ascii="Calibri" w:hAnsi="Calibri"/>
                <w:lang w:val="de-DE"/>
              </w:rPr>
            </w:pPr>
            <w:r>
              <w:rPr>
                <w:rFonts w:ascii="Calibri" w:hAnsi="Calibri"/>
                <w:lang w:val="de-DE"/>
              </w:rPr>
              <w:t>Channel Model</w:t>
            </w:r>
          </w:p>
        </w:tc>
        <w:tc>
          <w:tcPr>
            <w:tcW w:w="3337" w:type="dxa"/>
          </w:tcPr>
          <w:p>
            <w:pPr>
              <w:snapToGrid w:val="0"/>
              <w:spacing w:after="0"/>
              <w:rPr>
                <w:rFonts w:ascii="Calibri" w:hAnsi="Calibri" w:eastAsia="宋体"/>
                <w:lang w:val="de-DE" w:eastAsia="zh-CN"/>
              </w:rPr>
            </w:pPr>
            <w:r>
              <w:rPr>
                <w:rFonts w:hint="eastAsia" w:ascii="Calibri" w:hAnsi="Calibri" w:eastAsia="宋体"/>
                <w:lang w:val="de-DE" w:eastAsia="zh-CN"/>
              </w:rPr>
              <w:t>TDL-C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37" w:type="dxa"/>
            <w:gridSpan w:val="2"/>
          </w:tcPr>
          <w:p>
            <w:pPr>
              <w:snapToGrid w:val="0"/>
              <w:spacing w:after="0"/>
              <w:rPr>
                <w:rFonts w:ascii="Calibri" w:hAnsi="Calibri"/>
                <w:lang w:val="de-DE"/>
              </w:rPr>
            </w:pPr>
            <w:r>
              <w:rPr>
                <w:rFonts w:ascii="Calibri" w:hAnsi="Calibri"/>
                <w:lang w:val="de-DE"/>
              </w:rPr>
              <w:t xml:space="preserve"> </w:t>
            </w:r>
            <w:r>
              <w:rPr>
                <w:rFonts w:hint="eastAsia" w:ascii="Calibri" w:hAnsi="Calibri" w:eastAsia="宋体"/>
                <w:lang w:val="de-DE" w:eastAsia="zh-CN"/>
              </w:rPr>
              <w:t>A</w:t>
            </w:r>
            <w:r>
              <w:rPr>
                <w:rFonts w:ascii="Calibri" w:hAnsi="Calibri"/>
                <w:lang w:val="de-DE"/>
              </w:rPr>
              <w:t>ntenna configuration</w:t>
            </w:r>
          </w:p>
        </w:tc>
        <w:tc>
          <w:tcPr>
            <w:tcW w:w="3337" w:type="dxa"/>
          </w:tcPr>
          <w:p>
            <w:pPr>
              <w:snapToGrid w:val="0"/>
              <w:spacing w:after="0"/>
              <w:rPr>
                <w:rFonts w:ascii="Calibri" w:hAnsi="Calibri"/>
                <w:lang w:val="de-DE"/>
              </w:rPr>
            </w:pPr>
            <w:r>
              <w:rPr>
                <w:rFonts w:hint="eastAsia" w:ascii="Calibri" w:hAnsi="Calibri" w:eastAsia="宋体"/>
                <w:lang w:val="de-DE" w:eastAsia="zh-CN"/>
              </w:rPr>
              <w:t>1T2R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37" w:type="dxa"/>
            <w:gridSpan w:val="2"/>
          </w:tcPr>
          <w:p>
            <w:pPr>
              <w:snapToGrid w:val="0"/>
              <w:spacing w:after="0"/>
              <w:rPr>
                <w:rFonts w:ascii="Calibri" w:hAnsi="Calibri" w:eastAsia="宋体"/>
                <w:lang w:val="de-DE" w:eastAsia="zh-CN"/>
              </w:rPr>
            </w:pPr>
            <w:r>
              <w:rPr>
                <w:rFonts w:hint="eastAsia" w:ascii="Calibri" w:hAnsi="Calibri" w:eastAsia="宋体"/>
                <w:lang w:val="de-DE" w:eastAsia="zh-CN"/>
              </w:rPr>
              <w:t>UE speed</w:t>
            </w:r>
          </w:p>
        </w:tc>
        <w:tc>
          <w:tcPr>
            <w:tcW w:w="3337" w:type="dxa"/>
          </w:tcPr>
          <w:p>
            <w:pPr>
              <w:snapToGrid w:val="0"/>
              <w:spacing w:after="0"/>
              <w:rPr>
                <w:rFonts w:ascii="Calibri" w:hAnsi="Calibri" w:eastAsia="宋体"/>
                <w:lang w:val="de-DE" w:eastAsia="zh-CN"/>
              </w:rPr>
            </w:pPr>
            <w:r>
              <w:rPr>
                <w:rFonts w:hint="eastAsia" w:ascii="Calibri" w:hAnsi="Calibri" w:eastAsia="宋体"/>
                <w:lang w:val="de-DE" w:eastAsia="zh-CN"/>
              </w:rPr>
              <w:t>3km/h</w:t>
            </w:r>
          </w:p>
        </w:tc>
      </w:tr>
    </w:tbl>
    <w:p>
      <w:pPr>
        <w:widowControl w:val="0"/>
        <w:spacing w:line="260" w:lineRule="auto"/>
        <w:jc w:val="both"/>
        <w:rPr>
          <w:lang w:eastAsia="zh-CN"/>
        </w:rPr>
      </w:pPr>
    </w:p>
    <w:p>
      <w:pPr>
        <w:widowControl w:val="0"/>
        <w:spacing w:line="260" w:lineRule="auto"/>
        <w:jc w:val="both"/>
      </w:pPr>
      <w:r>
        <w:rPr>
          <w:rFonts w:hint="eastAsia"/>
          <w:lang w:eastAsia="zh-CN"/>
        </w:rPr>
        <w:t>In 52.6GHz~71GHz frequency band, phase noise is also a factor different from low frequency band. PUCCH is sequence or QPSK modulated symbols, which are not sensitive to phase noise. Therefore phase noise is not considered in this simulation.</w:t>
      </w:r>
    </w:p>
    <w:p>
      <w:pPr>
        <w:jc w:val="center"/>
      </w:pPr>
      <w:r>
        <w:rPr>
          <w:lang w:eastAsia="zh-CN"/>
        </w:rPr>
        <w:drawing>
          <wp:inline distT="0" distB="0" distL="114300" distR="114300">
            <wp:extent cx="5584825" cy="2299970"/>
            <wp:effectExtent l="0" t="0" r="15875" b="508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54"/>
                    <a:stretch>
                      <a:fillRect/>
                    </a:stretch>
                  </pic:blipFill>
                  <pic:spPr>
                    <a:xfrm>
                      <a:off x="0" y="0"/>
                      <a:ext cx="5584825" cy="2299970"/>
                    </a:xfrm>
                    <a:prstGeom prst="rect">
                      <a:avLst/>
                    </a:prstGeom>
                    <a:noFill/>
                    <a:ln w="9525">
                      <a:noFill/>
                    </a:ln>
                  </pic:spPr>
                </pic:pic>
              </a:graphicData>
            </a:graphic>
          </wp:inline>
        </w:drawing>
      </w:r>
    </w:p>
    <w:p>
      <w:pPr>
        <w:pStyle w:val="32"/>
        <w:widowControl w:val="0"/>
        <w:spacing w:after="0" w:line="360" w:lineRule="auto"/>
        <w:ind w:firstLine="420"/>
        <w:jc w:val="center"/>
        <w:rPr>
          <w:rFonts w:eastAsiaTheme="minorEastAsia"/>
        </w:rPr>
      </w:pPr>
      <w:r>
        <w:rPr>
          <w:rFonts w:hint="eastAsia"/>
        </w:rPr>
        <w:t>Figure 2.3-3 PMD and error rate for different case</w:t>
      </w:r>
    </w:p>
    <w:p>
      <w:pPr>
        <w:rPr>
          <w:lang w:eastAsia="zh-CN"/>
        </w:rPr>
      </w:pPr>
      <w:r>
        <w:rPr>
          <w:rFonts w:hint="eastAsia"/>
          <w:lang w:eastAsia="zh-CN"/>
        </w:rPr>
        <w:t xml:space="preserve">The legend </w:t>
      </w:r>
      <w:r>
        <w:rPr>
          <w:lang w:eastAsia="zh-CN"/>
        </w:rPr>
        <w:t>“</w:t>
      </w:r>
      <w:r>
        <w:rPr>
          <w:rFonts w:hint="eastAsia"/>
          <w:lang w:eastAsia="zh-CN"/>
        </w:rPr>
        <w:t>direct-CGS repetition,RBX</w:t>
      </w:r>
      <w:r>
        <w:rPr>
          <w:lang w:eastAsia="zh-CN"/>
        </w:rPr>
        <w:t>”</w:t>
      </w:r>
      <w:r>
        <w:rPr>
          <w:rFonts w:hint="eastAsia"/>
          <w:lang w:eastAsia="zh-CN"/>
        </w:rPr>
        <w:t xml:space="preserve"> denotes repeating the rel-15 CGS with length 12 directly X times, here X is the number of PRB.</w:t>
      </w:r>
    </w:p>
    <w:p>
      <w:pPr>
        <w:rPr>
          <w:lang w:eastAsia="zh-CN"/>
        </w:rPr>
      </w:pPr>
      <w:r>
        <w:rPr>
          <w:rFonts w:hint="eastAsia"/>
          <w:lang w:eastAsia="zh-CN"/>
        </w:rPr>
        <w:t>From Figure 2.3-3, we can see that the detection performance is similar for different cases under the same sequence length. The longer sequence length, the lower value of the PMD (P(ACK to DTX))and the error rate(P(NACK to ACK)).</w:t>
      </w:r>
    </w:p>
    <w:p>
      <w:pPr>
        <w:rPr>
          <w:rFonts w:eastAsia="宋体"/>
          <w:b/>
          <w:bCs/>
          <w:lang w:eastAsia="zh-CN"/>
        </w:rPr>
      </w:pPr>
      <w:r>
        <w:rPr>
          <w:rFonts w:hint="eastAsia" w:eastAsia="宋体"/>
          <w:b/>
          <w:bCs/>
          <w:lang w:eastAsia="zh-CN"/>
        </w:rPr>
        <w:t>Observation 6</w:t>
      </w:r>
      <w:r>
        <w:rPr>
          <w:rFonts w:eastAsia="宋体"/>
          <w:b/>
          <w:bCs/>
          <w:lang w:eastAsia="zh-CN"/>
        </w:rPr>
        <w:t>:</w:t>
      </w:r>
      <w:r>
        <w:rPr>
          <w:rFonts w:hint="eastAsia" w:eastAsia="宋体"/>
          <w:b/>
          <w:bCs/>
          <w:lang w:eastAsia="zh-CN"/>
        </w:rPr>
        <w:t xml:space="preserve"> The detection performance is proportional to the sequence length while independent of sequence types.</w:t>
      </w:r>
    </w:p>
    <w:p>
      <w:pPr>
        <w:numPr>
          <w:ilvl w:val="0"/>
          <w:numId w:val="19"/>
        </w:numPr>
        <w:rPr>
          <w:b/>
          <w:bCs/>
          <w:lang w:eastAsia="zh-CN"/>
        </w:rPr>
      </w:pPr>
      <w:r>
        <w:rPr>
          <w:rFonts w:hint="eastAsia"/>
          <w:b/>
          <w:bCs/>
          <w:lang w:eastAsia="zh-CN"/>
        </w:rPr>
        <w:t>Coverage analysis</w:t>
      </w:r>
    </w:p>
    <w:p>
      <w:pPr>
        <w:pStyle w:val="32"/>
        <w:widowControl w:val="0"/>
        <w:spacing w:after="0" w:line="360" w:lineRule="auto"/>
      </w:pPr>
      <w:r>
        <w:rPr>
          <w:rFonts w:hint="eastAsia"/>
        </w:rPr>
        <w:t xml:space="preserve">Based on the detection performance, the MCL calculation is provided in the following table. </w:t>
      </w:r>
    </w:p>
    <w:p>
      <w:pPr>
        <w:jc w:val="center"/>
      </w:pPr>
      <w:r>
        <w:rPr>
          <w:rFonts w:hint="eastAsia"/>
          <w:lang w:eastAsia="zh-CN"/>
        </w:rPr>
        <w:t>Table 2.3-3. Reported metrics for enhanced PUCCH format 0 and 1 performance evaluation(1 bit HARQ ACK detection)</w:t>
      </w:r>
    </w:p>
    <w:tbl>
      <w:tblPr>
        <w:tblStyle w:val="61"/>
        <w:tblW w:w="9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5897"/>
        <w:gridCol w:w="1216"/>
        <w:gridCol w:w="121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trPr>
        <w:tc>
          <w:tcPr>
            <w:tcW w:w="5897" w:type="dxa"/>
            <w:tcBorders>
              <w:top w:val="single" w:color="auto" w:sz="12" w:space="0"/>
              <w:left w:val="single" w:color="auto" w:sz="12" w:space="0"/>
              <w:bottom w:val="single" w:color="auto" w:sz="8" w:space="0"/>
              <w:right w:val="single" w:color="auto" w:sz="8" w:space="0"/>
            </w:tcBorders>
            <w:shd w:val="clear" w:color="auto" w:fill="auto"/>
            <w:vAlign w:val="bottom"/>
          </w:tcPr>
          <w:p>
            <w:pPr>
              <w:spacing w:after="0"/>
              <w:rPr>
                <w:rFonts w:ascii="Arial" w:hAnsi="Arial" w:cs="Arial"/>
                <w:color w:val="000000"/>
                <w:sz w:val="18"/>
                <w:szCs w:val="18"/>
                <w:lang w:val="sv-SE" w:eastAsia="sv-SE"/>
              </w:rPr>
            </w:pPr>
            <w:r>
              <w:rPr>
                <w:rFonts w:ascii="Arial" w:hAnsi="Arial" w:cs="Arial"/>
                <w:color w:val="000000"/>
                <w:sz w:val="18"/>
                <w:szCs w:val="18"/>
                <w:lang w:val="sv-SE" w:eastAsia="sv-SE"/>
              </w:rPr>
              <w:t>Number of</w:t>
            </w:r>
            <w:r>
              <w:rPr>
                <w:rFonts w:hint="eastAsia" w:ascii="Arial" w:hAnsi="Arial" w:eastAsia="宋体" w:cs="Arial"/>
                <w:color w:val="000000"/>
                <w:sz w:val="18"/>
                <w:szCs w:val="18"/>
                <w:lang w:eastAsia="zh-CN"/>
              </w:rPr>
              <w:t xml:space="preserve"> PRB</w:t>
            </w:r>
          </w:p>
        </w:tc>
        <w:tc>
          <w:tcPr>
            <w:tcW w:w="1216" w:type="dxa"/>
            <w:tcBorders>
              <w:top w:val="single" w:color="auto" w:sz="12"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1</w:t>
            </w:r>
          </w:p>
        </w:tc>
        <w:tc>
          <w:tcPr>
            <w:tcW w:w="1215" w:type="dxa"/>
            <w:tcBorders>
              <w:top w:val="single" w:color="auto" w:sz="12"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1</w:t>
            </w:r>
            <w:r>
              <w:rPr>
                <w:rFonts w:hint="eastAsia" w:ascii="Arial" w:hAnsi="Arial" w:eastAsia="宋体" w:cs="Arial"/>
                <w:color w:val="000000"/>
                <w:sz w:val="18"/>
                <w:szCs w:val="18"/>
                <w:lang w:eastAsia="zh-CN"/>
              </w:rPr>
              <w:t>0</w:t>
            </w:r>
          </w:p>
        </w:tc>
        <w:tc>
          <w:tcPr>
            <w:tcW w:w="1216" w:type="dxa"/>
            <w:tcBorders>
              <w:top w:val="single" w:color="auto" w:sz="12"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hint="eastAsia" w:ascii="Arial" w:hAnsi="Arial" w:cs="Arial"/>
                <w:color w:val="000000"/>
                <w:sz w:val="18"/>
                <w:szCs w:val="18"/>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trPr>
        <w:tc>
          <w:tcPr>
            <w:tcW w:w="5897" w:type="dxa"/>
            <w:tcBorders>
              <w:top w:val="single" w:color="auto" w:sz="8" w:space="0"/>
              <w:left w:val="single" w:color="auto" w:sz="12" w:space="0"/>
              <w:bottom w:val="single" w:color="auto" w:sz="8" w:space="0"/>
              <w:right w:val="single" w:color="auto" w:sz="8" w:space="0"/>
            </w:tcBorders>
            <w:shd w:val="clear" w:color="auto" w:fill="auto"/>
            <w:vAlign w:val="bottom"/>
          </w:tcPr>
          <w:p>
            <w:pPr>
              <w:spacing w:after="0"/>
              <w:rPr>
                <w:rFonts w:ascii="Arial" w:hAnsi="Arial" w:cs="Arial"/>
                <w:color w:val="000000"/>
                <w:sz w:val="18"/>
                <w:szCs w:val="18"/>
                <w:lang w:val="sv-SE" w:eastAsia="sv-SE"/>
              </w:rPr>
            </w:pPr>
            <w:r>
              <w:rPr>
                <w:rFonts w:ascii="Arial" w:hAnsi="Arial" w:cs="Arial"/>
                <w:color w:val="000000"/>
                <w:sz w:val="18"/>
                <w:szCs w:val="18"/>
                <w:lang w:val="sv-SE" w:eastAsia="sv-SE"/>
              </w:rPr>
              <w:t>SCS [kHz]</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120</w:t>
            </w:r>
          </w:p>
        </w:tc>
        <w:tc>
          <w:tcPr>
            <w:tcW w:w="1215"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hint="eastAsia" w:ascii="Arial" w:hAnsi="Arial" w:cs="Arial"/>
                <w:color w:val="000000"/>
                <w:sz w:val="18"/>
                <w:szCs w:val="18"/>
                <w:lang w:eastAsia="zh-CN"/>
              </w:rPr>
              <w:t>12</w:t>
            </w:r>
            <w:r>
              <w:rPr>
                <w:rFonts w:ascii="Arial" w:hAnsi="Arial" w:cs="Arial"/>
                <w:color w:val="000000"/>
                <w:sz w:val="18"/>
                <w:szCs w:val="18"/>
                <w:lang w:val="sv-SE" w:eastAsia="sv-SE"/>
              </w:rPr>
              <w:t>0</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trPr>
        <w:tc>
          <w:tcPr>
            <w:tcW w:w="5897" w:type="dxa"/>
            <w:tcBorders>
              <w:top w:val="single" w:color="auto" w:sz="8" w:space="0"/>
              <w:left w:val="single" w:color="auto" w:sz="12" w:space="0"/>
              <w:bottom w:val="single" w:color="auto" w:sz="8" w:space="0"/>
              <w:right w:val="single" w:color="auto" w:sz="8" w:space="0"/>
            </w:tcBorders>
            <w:shd w:val="clear" w:color="auto" w:fill="auto"/>
            <w:vAlign w:val="bottom"/>
          </w:tcPr>
          <w:p>
            <w:pPr>
              <w:spacing w:after="0"/>
              <w:rPr>
                <w:rFonts w:ascii="Arial" w:hAnsi="Arial" w:cs="Arial"/>
                <w:color w:val="000000"/>
                <w:sz w:val="18"/>
                <w:szCs w:val="18"/>
                <w:lang w:val="sv-SE" w:eastAsia="sv-SE"/>
              </w:rPr>
            </w:pPr>
            <w:r>
              <w:rPr>
                <w:rFonts w:ascii="Arial" w:hAnsi="Arial" w:cs="Arial"/>
                <w:color w:val="000000"/>
                <w:sz w:val="18"/>
                <w:szCs w:val="18"/>
                <w:lang w:val="sv-SE" w:eastAsia="sv-SE"/>
              </w:rPr>
              <w:t>Bandwidth [MHz]</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1.44</w:t>
            </w:r>
          </w:p>
        </w:tc>
        <w:tc>
          <w:tcPr>
            <w:tcW w:w="1215"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14.4</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trPr>
        <w:tc>
          <w:tcPr>
            <w:tcW w:w="5897" w:type="dxa"/>
            <w:tcBorders>
              <w:top w:val="single" w:color="auto" w:sz="8" w:space="0"/>
              <w:left w:val="single" w:color="auto" w:sz="12" w:space="0"/>
              <w:bottom w:val="single" w:color="auto" w:sz="8" w:space="0"/>
              <w:right w:val="single" w:color="auto" w:sz="8" w:space="0"/>
            </w:tcBorders>
            <w:shd w:val="clear" w:color="auto" w:fill="auto"/>
            <w:vAlign w:val="bottom"/>
          </w:tcPr>
          <w:p>
            <w:pPr>
              <w:spacing w:after="0"/>
              <w:rPr>
                <w:rFonts w:ascii="Arial" w:hAnsi="Arial" w:cs="Arial"/>
                <w:color w:val="000000"/>
                <w:sz w:val="18"/>
                <w:szCs w:val="18"/>
                <w:lang w:val="sv-SE" w:eastAsia="sv-SE"/>
              </w:rPr>
            </w:pPr>
            <w:r>
              <w:rPr>
                <w:lang w:eastAsia="zh-CN"/>
              </w:rPr>
              <w:t>Noise level, Np (dBm)</w:t>
            </w:r>
            <w:r>
              <w:rPr>
                <w:rFonts w:hint="eastAsia"/>
                <w:lang w:eastAsia="zh-CN"/>
              </w:rPr>
              <w:t xml:space="preserve"> </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-102.4</w:t>
            </w:r>
          </w:p>
        </w:tc>
        <w:tc>
          <w:tcPr>
            <w:tcW w:w="1215"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-92.4</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trPr>
        <w:tc>
          <w:tcPr>
            <w:tcW w:w="5897" w:type="dxa"/>
            <w:tcBorders>
              <w:top w:val="single" w:color="auto" w:sz="8" w:space="0"/>
              <w:left w:val="single" w:color="auto" w:sz="12" w:space="0"/>
              <w:bottom w:val="single" w:color="auto" w:sz="8" w:space="0"/>
              <w:right w:val="single" w:color="auto" w:sz="8" w:space="0"/>
            </w:tcBorders>
            <w:shd w:val="clear" w:color="auto" w:fill="auto"/>
            <w:vAlign w:val="bottom"/>
          </w:tcPr>
          <w:p>
            <w:pPr>
              <w:spacing w:after="0"/>
              <w:rPr>
                <w:rFonts w:ascii="Arial" w:hAnsi="Arial" w:cs="Arial"/>
                <w:color w:val="000000"/>
                <w:sz w:val="18"/>
                <w:szCs w:val="18"/>
                <w:lang w:val="sv-SE" w:eastAsia="sv-SE"/>
              </w:rPr>
            </w:pPr>
            <w:r>
              <w:rPr>
                <w:rFonts w:ascii="Arial" w:hAnsi="Arial" w:cs="Arial"/>
                <w:color w:val="000000"/>
                <w:sz w:val="18"/>
                <w:szCs w:val="18"/>
                <w:lang w:val="sv-SE" w:eastAsia="sv-SE"/>
              </w:rPr>
              <w:t>Required SNR [dB]</w:t>
            </w:r>
            <w:r>
              <w:rPr>
                <w:rFonts w:hint="eastAsia" w:ascii="Arial" w:hAnsi="Arial" w:cs="Arial"/>
                <w:color w:val="000000"/>
                <w:sz w:val="18"/>
                <w:szCs w:val="18"/>
                <w:lang w:eastAsia="zh-CN"/>
              </w:rPr>
              <w:t>(</w:t>
            </w:r>
            <w:r>
              <w:rPr>
                <w:lang w:eastAsia="zh-CN"/>
              </w:rPr>
              <w:t>Measured for 1% missed detection with 1% false alarm</w:t>
            </w:r>
            <w:r>
              <w:rPr>
                <w:rFonts w:hint="eastAsia"/>
                <w:lang w:eastAsia="zh-CN"/>
              </w:rPr>
              <w:t>)</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6.47</w:t>
            </w:r>
          </w:p>
        </w:tc>
        <w:tc>
          <w:tcPr>
            <w:tcW w:w="1215"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w:t>
            </w:r>
            <w:r>
              <w:rPr>
                <w:rFonts w:hint="eastAsia" w:ascii="Arial" w:hAnsi="Arial" w:cs="Arial"/>
                <w:color w:val="000000"/>
                <w:sz w:val="18"/>
                <w:szCs w:val="18"/>
                <w:lang w:eastAsia="zh-CN"/>
              </w:rPr>
              <w:t>5.2</w:t>
            </w:r>
          </w:p>
        </w:tc>
        <w:tc>
          <w:tcPr>
            <w:tcW w:w="1216" w:type="dxa"/>
            <w:tcBorders>
              <w:top w:val="single" w:color="auto" w:sz="8"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w:t>
            </w:r>
            <w:r>
              <w:rPr>
                <w:rFonts w:hint="eastAsia" w:ascii="Arial" w:hAnsi="Arial" w:cs="Arial"/>
                <w:color w:val="000000"/>
                <w:sz w:val="18"/>
                <w:szCs w:val="18"/>
                <w:lang w:eastAsia="zh-CN"/>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trPr>
        <w:tc>
          <w:tcPr>
            <w:tcW w:w="5897" w:type="dxa"/>
            <w:tcBorders>
              <w:top w:val="single" w:color="auto" w:sz="8" w:space="0"/>
              <w:left w:val="single" w:color="auto" w:sz="12" w:space="0"/>
              <w:right w:val="single" w:color="auto" w:sz="8" w:space="0"/>
            </w:tcBorders>
            <w:shd w:val="clear" w:color="auto" w:fill="auto"/>
            <w:vAlign w:val="bottom"/>
          </w:tcPr>
          <w:p>
            <w:pPr>
              <w:spacing w:after="0"/>
              <w:rPr>
                <w:rFonts w:ascii="Arial" w:hAnsi="Arial" w:cs="Arial"/>
                <w:color w:val="000000"/>
                <w:sz w:val="18"/>
                <w:szCs w:val="18"/>
                <w:lang w:eastAsia="sv-SE"/>
              </w:rPr>
            </w:pPr>
            <w:r>
              <w:rPr>
                <w:rFonts w:ascii="Arial" w:hAnsi="Arial" w:cs="Arial"/>
                <w:color w:val="000000"/>
                <w:sz w:val="18"/>
                <w:szCs w:val="18"/>
                <w:lang w:eastAsia="sv-SE"/>
              </w:rPr>
              <w:t>Max Tx power (according to regulations) [dBm]</w:t>
            </w:r>
            <w:r>
              <w:rPr>
                <w:rFonts w:hint="eastAsia" w:ascii="Arial" w:hAnsi="Arial" w:cs="Arial"/>
                <w:color w:val="000000"/>
                <w:sz w:val="18"/>
                <w:szCs w:val="18"/>
                <w:lang w:eastAsia="zh-CN"/>
              </w:rPr>
              <w:t>(max PSD=13dBm/Hz)</w:t>
            </w:r>
          </w:p>
        </w:tc>
        <w:tc>
          <w:tcPr>
            <w:tcW w:w="1216" w:type="dxa"/>
            <w:tcBorders>
              <w:top w:val="single" w:color="auto" w:sz="8"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color w:val="000000"/>
                <w:sz w:val="18"/>
                <w:szCs w:val="18"/>
                <w:lang w:eastAsia="sv-SE"/>
              </w:rPr>
            </w:pPr>
            <w:r>
              <w:rPr>
                <w:rFonts w:hint="eastAsia" w:ascii="Arial" w:hAnsi="Arial" w:cs="Arial"/>
                <w:color w:val="000000"/>
                <w:sz w:val="18"/>
                <w:szCs w:val="18"/>
                <w:lang w:eastAsia="zh-CN"/>
              </w:rPr>
              <w:t>8.6</w:t>
            </w:r>
          </w:p>
        </w:tc>
        <w:tc>
          <w:tcPr>
            <w:tcW w:w="1215" w:type="dxa"/>
            <w:tcBorders>
              <w:top w:val="single" w:color="auto" w:sz="8"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18.6</w:t>
            </w:r>
          </w:p>
        </w:tc>
        <w:tc>
          <w:tcPr>
            <w:tcW w:w="1216" w:type="dxa"/>
            <w:tcBorders>
              <w:top w:val="single" w:color="auto" w:sz="8"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76" w:hRule="atLeast"/>
        </w:trPr>
        <w:tc>
          <w:tcPr>
            <w:tcW w:w="5897" w:type="dxa"/>
            <w:tcBorders>
              <w:left w:val="single" w:color="auto" w:sz="12" w:space="0"/>
              <w:bottom w:val="single" w:color="auto" w:sz="8" w:space="0"/>
              <w:right w:val="single" w:color="auto" w:sz="4" w:space="0"/>
            </w:tcBorders>
            <w:shd w:val="clear" w:color="auto" w:fill="auto"/>
            <w:vAlign w:val="bottom"/>
          </w:tcPr>
          <w:p>
            <w:pPr>
              <w:spacing w:after="0"/>
              <w:rPr>
                <w:rFonts w:ascii="Arial" w:hAnsi="Arial" w:cs="Arial"/>
                <w:color w:val="000000"/>
                <w:sz w:val="18"/>
                <w:szCs w:val="18"/>
                <w:lang w:eastAsia="sv-SE"/>
              </w:rPr>
            </w:pPr>
            <w:r>
              <w:rPr>
                <w:rFonts w:ascii="Arial" w:hAnsi="Arial" w:cs="Arial"/>
                <w:color w:val="000000"/>
                <w:sz w:val="18"/>
                <w:szCs w:val="18"/>
                <w:lang w:eastAsia="sv-SE"/>
              </w:rPr>
              <w:t>Max Tx power (according to regulations) [dBm]</w:t>
            </w:r>
            <w:r>
              <w:rPr>
                <w:rFonts w:hint="eastAsia" w:ascii="Arial" w:hAnsi="Arial" w:cs="Arial"/>
                <w:color w:val="000000"/>
                <w:sz w:val="18"/>
                <w:szCs w:val="18"/>
                <w:lang w:eastAsia="zh-CN"/>
              </w:rPr>
              <w:t>(max PSD=23dBm/Hz)</w:t>
            </w:r>
          </w:p>
        </w:tc>
        <w:tc>
          <w:tcPr>
            <w:tcW w:w="1216" w:type="dxa"/>
            <w:tcBorders>
              <w:top w:val="single" w:color="auto" w:sz="4" w:space="0"/>
              <w:left w:val="single" w:color="auto" w:sz="4"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24.6</w:t>
            </w:r>
          </w:p>
        </w:tc>
        <w:tc>
          <w:tcPr>
            <w:tcW w:w="1215" w:type="dxa"/>
            <w:tcBorders>
              <w:top w:val="single" w:color="auto" w:sz="4"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34.6</w:t>
            </w:r>
          </w:p>
        </w:tc>
        <w:tc>
          <w:tcPr>
            <w:tcW w:w="1216" w:type="dxa"/>
            <w:tcBorders>
              <w:top w:val="single" w:color="auto" w:sz="4"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3" w:hRule="atLeast"/>
        </w:trPr>
        <w:tc>
          <w:tcPr>
            <w:tcW w:w="5897" w:type="dxa"/>
            <w:tcBorders>
              <w:top w:val="single" w:color="auto" w:sz="12" w:space="0"/>
              <w:left w:val="single" w:color="auto" w:sz="12" w:space="0"/>
              <w:right w:val="single" w:color="auto" w:sz="8" w:space="0"/>
            </w:tcBorders>
            <w:shd w:val="clear" w:color="auto" w:fill="auto"/>
            <w:vAlign w:val="bottom"/>
          </w:tcPr>
          <w:p>
            <w:pPr>
              <w:spacing w:after="0"/>
              <w:rPr>
                <w:rFonts w:ascii="Arial" w:hAnsi="Arial" w:cs="Arial"/>
                <w:color w:val="000000"/>
                <w:sz w:val="18"/>
                <w:szCs w:val="18"/>
                <w:lang w:eastAsia="sv-SE"/>
              </w:rPr>
            </w:pPr>
            <w:r>
              <w:rPr>
                <w:rFonts w:ascii="Arial" w:hAnsi="Arial" w:cs="Arial"/>
                <w:color w:val="000000"/>
                <w:sz w:val="18"/>
                <w:szCs w:val="18"/>
                <w:lang w:eastAsia="sv-SE"/>
              </w:rPr>
              <w:t>Maximum coupling loss (MCL) [dB]</w:t>
            </w:r>
            <w:r>
              <w:rPr>
                <w:rFonts w:hint="eastAsia" w:ascii="Arial" w:hAnsi="Arial" w:cs="Arial"/>
                <w:color w:val="000000"/>
                <w:sz w:val="18"/>
                <w:szCs w:val="18"/>
                <w:lang w:eastAsia="zh-CN"/>
              </w:rPr>
              <w:t>(max PSD=13dBm/Hz)</w:t>
            </w:r>
          </w:p>
        </w:tc>
        <w:tc>
          <w:tcPr>
            <w:tcW w:w="1216" w:type="dxa"/>
            <w:tcBorders>
              <w:top w:val="single" w:color="auto" w:sz="12"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104.5</w:t>
            </w:r>
          </w:p>
        </w:tc>
        <w:tc>
          <w:tcPr>
            <w:tcW w:w="1215" w:type="dxa"/>
            <w:tcBorders>
              <w:top w:val="single" w:color="auto" w:sz="12"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116.2</w:t>
            </w:r>
          </w:p>
        </w:tc>
        <w:tc>
          <w:tcPr>
            <w:tcW w:w="1216" w:type="dxa"/>
            <w:tcBorders>
              <w:top w:val="single" w:color="auto" w:sz="12" w:space="0"/>
              <w:left w:val="single" w:color="auto" w:sz="8" w:space="0"/>
              <w:bottom w:val="single" w:color="auto" w:sz="4"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79" w:hRule="atLeast"/>
        </w:trPr>
        <w:tc>
          <w:tcPr>
            <w:tcW w:w="5897" w:type="dxa"/>
            <w:tcBorders>
              <w:left w:val="single" w:color="auto" w:sz="12" w:space="0"/>
              <w:bottom w:val="single" w:color="auto" w:sz="8" w:space="0"/>
              <w:right w:val="single" w:color="auto" w:sz="8" w:space="0"/>
            </w:tcBorders>
            <w:shd w:val="clear" w:color="auto" w:fill="auto"/>
            <w:vAlign w:val="bottom"/>
          </w:tcPr>
          <w:p>
            <w:pPr>
              <w:spacing w:after="0"/>
              <w:rPr>
                <w:rFonts w:ascii="Arial" w:hAnsi="Arial" w:eastAsia="宋体" w:cs="Arial"/>
                <w:color w:val="000000"/>
                <w:sz w:val="18"/>
                <w:szCs w:val="18"/>
                <w:lang w:eastAsia="zh-CN"/>
              </w:rPr>
            </w:pPr>
            <w:r>
              <w:rPr>
                <w:rFonts w:ascii="Arial" w:hAnsi="Arial" w:cs="Arial"/>
                <w:color w:val="000000"/>
                <w:sz w:val="18"/>
                <w:szCs w:val="18"/>
                <w:lang w:eastAsia="sv-SE"/>
              </w:rPr>
              <w:t>Maximum coupling loss (MCL) [dB]</w:t>
            </w:r>
            <w:r>
              <w:rPr>
                <w:rFonts w:hint="eastAsia" w:ascii="Arial" w:hAnsi="Arial" w:cs="Arial"/>
                <w:color w:val="000000"/>
                <w:sz w:val="18"/>
                <w:szCs w:val="18"/>
                <w:lang w:eastAsia="zh-CN"/>
              </w:rPr>
              <w:t>(max PSD=23dBm/Hz)</w:t>
            </w:r>
          </w:p>
        </w:tc>
        <w:tc>
          <w:tcPr>
            <w:tcW w:w="1216" w:type="dxa"/>
            <w:tcBorders>
              <w:top w:val="single" w:color="auto" w:sz="4"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120.5</w:t>
            </w:r>
          </w:p>
        </w:tc>
        <w:tc>
          <w:tcPr>
            <w:tcW w:w="1215" w:type="dxa"/>
            <w:tcBorders>
              <w:top w:val="single" w:color="auto" w:sz="4"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132.2</w:t>
            </w:r>
          </w:p>
        </w:tc>
        <w:tc>
          <w:tcPr>
            <w:tcW w:w="1216" w:type="dxa"/>
            <w:tcBorders>
              <w:top w:val="single" w:color="auto" w:sz="4" w:space="0"/>
              <w:left w:val="single" w:color="auto" w:sz="8" w:space="0"/>
              <w:bottom w:val="single" w:color="auto" w:sz="8" w:space="0"/>
              <w:right w:val="single" w:color="auto" w:sz="8" w:space="0"/>
            </w:tcBorders>
            <w:shd w:val="clear" w:color="auto" w:fill="auto"/>
            <w:vAlign w:val="bottom"/>
          </w:tcPr>
          <w:p>
            <w:pPr>
              <w:spacing w:after="0"/>
              <w:jc w:val="center"/>
              <w:rPr>
                <w:rFonts w:ascii="Arial" w:hAnsi="Arial" w:cs="Arial" w:eastAsiaTheme="minorEastAsia"/>
                <w:color w:val="000000"/>
                <w:sz w:val="18"/>
                <w:szCs w:val="18"/>
                <w:lang w:eastAsia="zh-CN"/>
              </w:rPr>
            </w:pPr>
            <w:r>
              <w:rPr>
                <w:rFonts w:hint="eastAsia" w:ascii="Arial" w:hAnsi="Arial" w:cs="Arial"/>
                <w:color w:val="000000"/>
                <w:sz w:val="18"/>
                <w:szCs w:val="18"/>
                <w:lang w:eastAsia="zh-CN"/>
              </w:rPr>
              <w:t>135.2</w:t>
            </w:r>
          </w:p>
        </w:tc>
      </w:tr>
    </w:tbl>
    <w:p>
      <w:pPr>
        <w:pStyle w:val="32"/>
        <w:widowControl w:val="0"/>
        <w:spacing w:after="0" w:line="360" w:lineRule="auto"/>
      </w:pPr>
      <w:r>
        <w:rPr>
          <w:rFonts w:hint="eastAsia"/>
        </w:rPr>
        <w:t xml:space="preserve"> </w:t>
      </w:r>
    </w:p>
    <w:p>
      <w:pPr>
        <w:widowControl w:val="0"/>
        <w:spacing w:after="0" w:line="360" w:lineRule="auto"/>
      </w:pPr>
      <w:r>
        <w:rPr>
          <w:lang w:eastAsia="zh-CN"/>
        </w:rPr>
        <w:t xml:space="preserve">The MCL calculation is relative to the required SNR under the same Tx power and noise level assumption, since the detection performance of different sequence types with the same sequence length is similar, MCL is also independent of sequence types. Therefore, in Table 3, the parameters and values are collected from ZC sequence. It is illustrated that with the increasing number of PRBs, the MCL value is also increasing. </w:t>
      </w:r>
    </w:p>
    <w:p>
      <w:pPr>
        <w:rPr>
          <w:rFonts w:eastAsia="宋体"/>
          <w:b/>
          <w:bCs/>
          <w:lang w:eastAsia="zh-CN"/>
        </w:rPr>
      </w:pPr>
      <w:r>
        <w:rPr>
          <w:rFonts w:hint="eastAsia" w:eastAsia="宋体"/>
          <w:b/>
          <w:bCs/>
          <w:lang w:eastAsia="zh-CN"/>
        </w:rPr>
        <w:t>Observation 7</w:t>
      </w:r>
      <w:r>
        <w:rPr>
          <w:rFonts w:eastAsia="宋体"/>
          <w:b/>
          <w:bCs/>
          <w:lang w:eastAsia="zh-CN"/>
        </w:rPr>
        <w:t>:</w:t>
      </w:r>
      <w:r>
        <w:rPr>
          <w:rFonts w:hint="eastAsia" w:eastAsia="宋体"/>
          <w:b/>
          <w:bCs/>
          <w:lang w:eastAsia="zh-CN"/>
        </w:rPr>
        <w:t xml:space="preserve"> The coverage becomes better with sequence length increasing while independent of sequence types.</w:t>
      </w:r>
    </w:p>
    <w:p>
      <w:pPr>
        <w:pStyle w:val="32"/>
        <w:widowControl w:val="0"/>
        <w:spacing w:after="0" w:line="360" w:lineRule="auto"/>
      </w:pPr>
    </w:p>
    <w:p>
      <w:pPr>
        <w:pStyle w:val="2"/>
        <w:numPr>
          <w:ilvl w:val="0"/>
          <w:numId w:val="13"/>
        </w:numPr>
        <w:rPr>
          <w:lang w:val="en-US" w:eastAsia="zh-CN"/>
        </w:rPr>
      </w:pPr>
      <w:r>
        <w:rPr>
          <w:rFonts w:hint="eastAsia"/>
          <w:lang w:val="en-US" w:eastAsia="zh-CN"/>
        </w:rPr>
        <w:t xml:space="preserve"> System level simulation results</w:t>
      </w:r>
    </w:p>
    <w:p>
      <w:pPr>
        <w:pStyle w:val="3"/>
        <w:rPr>
          <w:lang w:val="en-US" w:eastAsia="zh-CN"/>
        </w:rPr>
      </w:pPr>
      <w:r>
        <w:rPr>
          <w:rFonts w:hint="eastAsia"/>
          <w:lang w:val="en-US" w:eastAsia="zh-CN"/>
        </w:rPr>
        <w:t>3.1 Deployment scenarios</w:t>
      </w:r>
    </w:p>
    <w:p>
      <w:pPr>
        <w:spacing w:line="360" w:lineRule="auto"/>
        <w:jc w:val="center"/>
        <w:rPr>
          <w:sz w:val="24"/>
          <w:szCs w:val="24"/>
          <w:lang w:eastAsia="zh-CN"/>
        </w:rPr>
      </w:pPr>
      <w:r>
        <w:rPr>
          <w:sz w:val="24"/>
          <w:szCs w:val="24"/>
          <w:lang w:eastAsia="zh-CN"/>
        </w:rPr>
        <w:drawing>
          <wp:inline distT="0" distB="0" distL="114300" distR="114300">
            <wp:extent cx="2665730" cy="1217295"/>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5"/>
                    <a:stretch>
                      <a:fillRect/>
                    </a:stretch>
                  </pic:blipFill>
                  <pic:spPr>
                    <a:xfrm>
                      <a:off x="0" y="0"/>
                      <a:ext cx="2665730" cy="1217295"/>
                    </a:xfrm>
                    <a:prstGeom prst="rect">
                      <a:avLst/>
                    </a:prstGeom>
                    <a:noFill/>
                    <a:ln>
                      <a:noFill/>
                    </a:ln>
                  </pic:spPr>
                </pic:pic>
              </a:graphicData>
            </a:graphic>
          </wp:inline>
        </w:drawing>
      </w:r>
    </w:p>
    <w:p>
      <w:pPr>
        <w:pStyle w:val="32"/>
        <w:widowControl w:val="0"/>
        <w:spacing w:after="0" w:line="360" w:lineRule="auto"/>
        <w:ind w:firstLine="3418" w:firstLineChars="1709"/>
        <w:jc w:val="both"/>
      </w:pPr>
      <w:r>
        <w:t>Figure 3.1-1 Indoor scenario A</w:t>
      </w:r>
    </w:p>
    <w:p>
      <w:pPr>
        <w:tabs>
          <w:tab w:val="left" w:pos="450"/>
          <w:tab w:val="left" w:pos="720"/>
        </w:tabs>
        <w:jc w:val="both"/>
        <w:rPr>
          <w:lang w:val="en-US" w:eastAsia="zh-CN"/>
        </w:rPr>
      </w:pPr>
      <w:r>
        <w:rPr>
          <w:rFonts w:hint="eastAsia"/>
          <w:lang w:eastAsia="zh-CN"/>
        </w:rPr>
        <w:t xml:space="preserve">In this section, the simulation is performed to study channelization schemes. </w:t>
      </w:r>
      <w:r>
        <w:rPr>
          <w:rFonts w:hint="eastAsia"/>
          <w:lang w:val="en-US" w:eastAsia="zh-CN"/>
        </w:rPr>
        <w:t>The evaluation scenario is Indoor scenario A. There are two operators in the scenario (operator A and operator B), no LBT is used in both operators for the DL only case.</w:t>
      </w:r>
    </w:p>
    <w:p>
      <w:pPr>
        <w:overflowPunct w:val="0"/>
        <w:autoSpaceDE w:val="0"/>
        <w:autoSpaceDN w:val="0"/>
        <w:adjustRightInd w:val="0"/>
        <w:spacing w:after="0" w:line="360" w:lineRule="auto"/>
        <w:jc w:val="center"/>
        <w:textAlignment w:val="baseline"/>
      </w:pPr>
      <w:r>
        <w:drawing>
          <wp:inline distT="0" distB="0" distL="114300" distR="114300">
            <wp:extent cx="4901565" cy="729615"/>
            <wp:effectExtent l="0" t="0" r="13335" b="13335"/>
            <wp:docPr id="4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4"/>
                    <pic:cNvPicPr>
                      <a:picLocks noChangeAspect="1"/>
                    </pic:cNvPicPr>
                  </pic:nvPicPr>
                  <pic:blipFill>
                    <a:blip r:embed="rId56"/>
                    <a:stretch>
                      <a:fillRect/>
                    </a:stretch>
                  </pic:blipFill>
                  <pic:spPr>
                    <a:xfrm>
                      <a:off x="0" y="0"/>
                      <a:ext cx="4901565" cy="729615"/>
                    </a:xfrm>
                    <a:prstGeom prst="rect">
                      <a:avLst/>
                    </a:prstGeom>
                    <a:noFill/>
                    <a:ln>
                      <a:noFill/>
                    </a:ln>
                  </pic:spPr>
                </pic:pic>
              </a:graphicData>
            </a:graphic>
          </wp:inline>
        </w:drawing>
      </w:r>
    </w:p>
    <w:p>
      <w:pPr>
        <w:numPr>
          <w:ilvl w:val="0"/>
          <w:numId w:val="20"/>
        </w:numPr>
        <w:overflowPunct w:val="0"/>
        <w:autoSpaceDE w:val="0"/>
        <w:autoSpaceDN w:val="0"/>
        <w:adjustRightInd w:val="0"/>
        <w:spacing w:after="0" w:line="360" w:lineRule="auto"/>
        <w:jc w:val="center"/>
        <w:textAlignment w:val="baseline"/>
        <w:rPr>
          <w:rFonts w:hint="default"/>
          <w:lang w:val="en-US" w:eastAsia="zh-CN"/>
        </w:rPr>
      </w:pPr>
      <w:r>
        <w:rPr>
          <w:rFonts w:hint="eastAsia"/>
          <w:lang w:val="en-US" w:eastAsia="zh-CN"/>
        </w:rPr>
        <w:t>Aligned case                                                  (b) Misaligned case</w:t>
      </w:r>
    </w:p>
    <w:p>
      <w:pPr>
        <w:pStyle w:val="32"/>
        <w:widowControl w:val="0"/>
        <w:spacing w:after="0" w:line="360" w:lineRule="auto"/>
        <w:ind w:firstLine="420"/>
        <w:jc w:val="center"/>
        <w:rPr>
          <w:rFonts w:eastAsia="Times New Roman"/>
          <w:lang w:val="en-US" w:eastAsia="zh-CN"/>
        </w:rPr>
      </w:pPr>
      <w:r>
        <w:rPr>
          <w:rFonts w:eastAsia="Times New Roman"/>
          <w:lang w:val="en-US" w:eastAsia="zh-CN"/>
        </w:rPr>
        <w:t xml:space="preserve">Figure </w:t>
      </w:r>
      <w:r>
        <w:rPr>
          <w:rFonts w:hint="eastAsia" w:eastAsia="Times New Roman"/>
          <w:lang w:val="en-US" w:eastAsia="zh-CN"/>
        </w:rPr>
        <w:t>3</w:t>
      </w:r>
      <w:r>
        <w:rPr>
          <w:rFonts w:eastAsia="Times New Roman"/>
          <w:lang w:val="en-US" w:eastAsia="zh-CN"/>
        </w:rPr>
        <w:t>.1-</w:t>
      </w:r>
      <w:r>
        <w:rPr>
          <w:rFonts w:hint="eastAsia" w:eastAsia="Times New Roman"/>
          <w:lang w:val="en-US" w:eastAsia="zh-CN"/>
        </w:rPr>
        <w:t>2</w:t>
      </w:r>
      <w:r>
        <w:rPr>
          <w:lang w:val="en-US" w:eastAsia="zh-CN"/>
        </w:rPr>
        <w:t xml:space="preserve"> </w:t>
      </w:r>
      <w:r>
        <w:rPr>
          <w:rFonts w:hint="eastAsia"/>
          <w:lang w:val="en-US" w:eastAsia="zh-CN"/>
        </w:rPr>
        <w:t>A</w:t>
      </w:r>
      <w:r>
        <w:rPr>
          <w:rFonts w:eastAsia="Times New Roman"/>
          <w:lang w:val="en-US" w:eastAsia="zh-CN"/>
        </w:rPr>
        <w:t>ligned and misaligned case</w:t>
      </w:r>
      <w:r>
        <w:rPr>
          <w:lang w:val="en-US" w:eastAsia="zh-CN"/>
        </w:rPr>
        <w:t>s</w:t>
      </w:r>
      <w:r>
        <w:rPr>
          <w:rFonts w:eastAsia="Times New Roman"/>
          <w:lang w:val="en-US" w:eastAsia="zh-CN"/>
        </w:rPr>
        <w:t xml:space="preserve"> for two operators</w:t>
      </w:r>
    </w:p>
    <w:p>
      <w:pPr>
        <w:spacing w:line="260" w:lineRule="auto"/>
        <w:jc w:val="both"/>
        <w:rPr>
          <w:lang w:eastAsia="zh-CN"/>
        </w:rPr>
      </w:pPr>
      <w:r>
        <w:rPr>
          <w:rFonts w:eastAsia="宋体"/>
          <w:lang w:val="en-US" w:eastAsia="zh-CN"/>
        </w:rPr>
        <w:t xml:space="preserve">The channel of </w:t>
      </w:r>
      <w:r>
        <w:rPr>
          <w:rFonts w:hint="eastAsia" w:eastAsia="宋体"/>
          <w:lang w:val="en-US" w:eastAsia="zh-CN"/>
        </w:rPr>
        <w:t>aligned</w:t>
      </w:r>
      <w:r>
        <w:rPr>
          <w:rFonts w:eastAsia="宋体"/>
          <w:lang w:val="en-US" w:eastAsia="zh-CN"/>
        </w:rPr>
        <w:t xml:space="preserve"> case is shown in Figure </w:t>
      </w:r>
      <w:r>
        <w:rPr>
          <w:rFonts w:hint="eastAsia" w:eastAsia="宋体"/>
          <w:lang w:val="en-US" w:eastAsia="zh-CN"/>
        </w:rPr>
        <w:t>3</w:t>
      </w:r>
      <w:r>
        <w:rPr>
          <w:rFonts w:eastAsia="宋体"/>
          <w:lang w:val="en-US" w:eastAsia="zh-CN"/>
        </w:rPr>
        <w:t>.1-</w:t>
      </w:r>
      <w:r>
        <w:rPr>
          <w:rFonts w:hint="eastAsia" w:eastAsia="宋体"/>
          <w:lang w:val="en-US" w:eastAsia="zh-CN"/>
        </w:rPr>
        <w:t>2</w:t>
      </w:r>
      <w:r>
        <w:rPr>
          <w:rFonts w:eastAsia="宋体"/>
          <w:lang w:val="en-US" w:eastAsia="zh-CN"/>
        </w:rPr>
        <w:t xml:space="preserve">(a), two operators have the same channel bandwidth 2GHz, and the channels are aligned with each other. In Figure </w:t>
      </w:r>
      <w:r>
        <w:rPr>
          <w:rFonts w:hint="eastAsia" w:eastAsia="宋体"/>
          <w:lang w:val="en-US" w:eastAsia="zh-CN"/>
        </w:rPr>
        <w:t>3</w:t>
      </w:r>
      <w:r>
        <w:rPr>
          <w:rFonts w:eastAsia="宋体"/>
          <w:lang w:val="en-US" w:eastAsia="zh-CN"/>
        </w:rPr>
        <w:t>.1-</w:t>
      </w:r>
      <w:r>
        <w:rPr>
          <w:rFonts w:hint="eastAsia" w:eastAsia="宋体"/>
          <w:lang w:val="en-US" w:eastAsia="zh-CN"/>
        </w:rPr>
        <w:t>2</w:t>
      </w:r>
      <w:r>
        <w:rPr>
          <w:rFonts w:eastAsia="宋体"/>
          <w:lang w:val="en-US" w:eastAsia="zh-CN"/>
        </w:rPr>
        <w:t xml:space="preserve">(b), </w:t>
      </w:r>
      <w:r>
        <w:rPr>
          <w:rFonts w:hint="eastAsia" w:eastAsia="宋体"/>
          <w:lang w:val="en-US" w:eastAsia="zh-CN"/>
        </w:rPr>
        <w:t>o</w:t>
      </w:r>
      <w:r>
        <w:rPr>
          <w:rFonts w:eastAsia="宋体"/>
          <w:lang w:val="en-US" w:eastAsia="zh-CN"/>
        </w:rPr>
        <w:t>perator B u</w:t>
      </w:r>
      <w:r>
        <w:rPr>
          <w:rFonts w:hint="eastAsia" w:eastAsia="宋体"/>
          <w:lang w:val="en-US" w:eastAsia="zh-CN"/>
        </w:rPr>
        <w:t xml:space="preserve">ses three 800MHz channels misaligned with 2GHz channel used by operator A, </w:t>
      </w:r>
      <w:r>
        <w:rPr>
          <w:rFonts w:eastAsia="宋体"/>
          <w:lang w:val="en-US" w:eastAsia="zh-CN"/>
        </w:rPr>
        <w:t>the UEs of operator B are divided into three groups, each group can be scheduled in one sub-channel</w:t>
      </w:r>
      <w:r>
        <w:rPr>
          <w:rFonts w:hint="eastAsia" w:eastAsia="宋体"/>
          <w:lang w:val="en-US" w:eastAsia="zh-CN"/>
        </w:rPr>
        <w:t>. Furthermore, in misaligned case, to achieve a relatively fair comparison, operator B has the same power per channel as operator A.</w:t>
      </w:r>
    </w:p>
    <w:p>
      <w:pPr>
        <w:spacing w:line="360" w:lineRule="auto"/>
        <w:rPr>
          <w:lang w:eastAsia="zh-CN"/>
        </w:rPr>
      </w:pPr>
    </w:p>
    <w:p>
      <w:pPr>
        <w:pStyle w:val="3"/>
        <w:rPr>
          <w:lang w:val="en-US" w:eastAsia="zh-CN"/>
        </w:rPr>
      </w:pPr>
      <w:r>
        <w:rPr>
          <w:rFonts w:hint="eastAsia"/>
          <w:lang w:val="en-US" w:eastAsia="zh-CN"/>
        </w:rPr>
        <w:t>3.2 Channelization simulation</w:t>
      </w:r>
    </w:p>
    <w:p>
      <w:pPr>
        <w:spacing w:line="360" w:lineRule="auto"/>
        <w:jc w:val="both"/>
        <w:rPr>
          <w:lang w:eastAsia="zh-CN"/>
        </w:rPr>
      </w:pPr>
      <w:r>
        <w:rPr>
          <w:rFonts w:hint="eastAsia"/>
          <w:lang w:eastAsia="zh-CN"/>
        </w:rPr>
        <w:t>In this section, the simulation is performed to study the influence of the NR channelization aligned or misaligned with 802.11ad channelization in 60 GHz frequency.</w:t>
      </w:r>
    </w:p>
    <w:p>
      <w:pPr>
        <w:spacing w:line="360" w:lineRule="auto"/>
        <w:jc w:val="both"/>
        <w:rPr>
          <w:lang w:eastAsia="zh-CN"/>
        </w:rPr>
      </w:pPr>
      <w:r>
        <w:rPr>
          <w:rFonts w:hint="eastAsia"/>
          <w:lang w:eastAsia="zh-CN"/>
        </w:rPr>
        <w:t xml:space="preserve">Figure 3.2-1 compares the throughput of Operator A in downlink at both low load and medium load. Operator A in aligned case is represented by the blue bar and Operator A in misaligned case is represented by the </w:t>
      </w:r>
      <w:r>
        <w:rPr>
          <w:rFonts w:hint="eastAsia"/>
          <w:lang w:val="en-US" w:eastAsia="zh-CN"/>
        </w:rPr>
        <w:t>orange</w:t>
      </w:r>
      <w:r>
        <w:rPr>
          <w:rFonts w:hint="eastAsia"/>
          <w:lang w:eastAsia="zh-CN"/>
        </w:rPr>
        <w:t xml:space="preserve"> bar</w:t>
      </w:r>
      <w:r>
        <w:rPr>
          <w:rFonts w:hint="eastAsia"/>
          <w:lang w:val="en-US" w:eastAsia="zh-CN"/>
        </w:rPr>
        <w:t>.</w:t>
      </w:r>
    </w:p>
    <w:p>
      <w:pPr>
        <w:spacing w:line="360" w:lineRule="auto"/>
        <w:jc w:val="center"/>
        <w:rPr>
          <w:lang w:eastAsia="zh-CN"/>
        </w:rPr>
      </w:pPr>
      <w:r>
        <w:rPr>
          <w:rFonts w:hint="eastAsia"/>
          <w:lang w:val="en-US" w:eastAsia="zh-CN"/>
        </w:rPr>
        <w:drawing>
          <wp:inline distT="0" distB="0" distL="114300" distR="114300">
            <wp:extent cx="3753485" cy="2835275"/>
            <wp:effectExtent l="0" t="0" r="18415" b="3175"/>
            <wp:docPr id="16" name="图片 1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4"/>
                    <pic:cNvPicPr>
                      <a:picLocks noChangeAspect="1"/>
                    </pic:cNvPicPr>
                  </pic:nvPicPr>
                  <pic:blipFill>
                    <a:blip r:embed="rId57"/>
                    <a:stretch>
                      <a:fillRect/>
                    </a:stretch>
                  </pic:blipFill>
                  <pic:spPr>
                    <a:xfrm>
                      <a:off x="0" y="0"/>
                      <a:ext cx="3753485" cy="2835275"/>
                    </a:xfrm>
                    <a:prstGeom prst="rect">
                      <a:avLst/>
                    </a:prstGeom>
                  </pic:spPr>
                </pic:pic>
              </a:graphicData>
            </a:graphic>
          </wp:inline>
        </w:drawing>
      </w:r>
    </w:p>
    <w:p>
      <w:pPr>
        <w:spacing w:line="360" w:lineRule="auto"/>
        <w:jc w:val="center"/>
        <w:rPr>
          <w:rFonts w:ascii="Arial" w:hAnsi="Arial" w:cs="Arial"/>
          <w:lang w:eastAsia="zh-CN"/>
        </w:rPr>
      </w:pPr>
      <w:r>
        <w:rPr>
          <w:rFonts w:ascii="Arial" w:hAnsi="Arial" w:cs="Arial"/>
          <w:lang w:eastAsia="zh-CN"/>
        </w:rPr>
        <w:t xml:space="preserve">Figure 3.2-1 </w:t>
      </w:r>
      <w:r>
        <w:rPr>
          <w:rFonts w:hint="eastAsia" w:ascii="Arial" w:hAnsi="Arial" w:cs="Arial"/>
          <w:lang w:eastAsia="zh-CN"/>
        </w:rPr>
        <w:t>DL m</w:t>
      </w:r>
      <w:r>
        <w:rPr>
          <w:rFonts w:ascii="Arial" w:hAnsi="Arial" w:cs="Arial"/>
          <w:lang w:eastAsia="zh-CN"/>
        </w:rPr>
        <w:t>ean user throughput</w:t>
      </w:r>
    </w:p>
    <w:p>
      <w:pPr>
        <w:numPr>
          <w:ilvl w:val="-1"/>
          <w:numId w:val="0"/>
        </w:numPr>
        <w:spacing w:line="360" w:lineRule="auto"/>
        <w:jc w:val="both"/>
        <w:rPr>
          <w:rFonts w:ascii="Arial" w:hAnsi="Arial" w:cs="Arial"/>
          <w:lang w:eastAsia="zh-CN"/>
        </w:rPr>
      </w:pPr>
      <w:r>
        <w:rPr>
          <w:rFonts w:hint="eastAsia"/>
          <w:lang w:eastAsia="zh-CN"/>
        </w:rPr>
        <w:t xml:space="preserve">It can be shown that, in terms of user throughput with different traffic loads, </w:t>
      </w:r>
      <w:r>
        <w:rPr>
          <w:rFonts w:hint="eastAsia"/>
          <w:lang w:val="en-US" w:eastAsia="zh-CN"/>
        </w:rPr>
        <w:t>t</w:t>
      </w:r>
      <w:r>
        <w:rPr>
          <w:rFonts w:hint="eastAsia"/>
          <w:lang w:eastAsia="zh-CN"/>
        </w:rPr>
        <w:t>he performance of Operator A in misaligned case is comparable to the aligned case.</w:t>
      </w:r>
      <w:bookmarkStart w:id="5" w:name="_GoBack"/>
      <w:bookmarkEnd w:id="5"/>
    </w:p>
    <w:p>
      <w:pPr>
        <w:pStyle w:val="32"/>
        <w:spacing w:line="360" w:lineRule="auto"/>
        <w:rPr>
          <w:rFonts w:ascii="Times New Roman" w:hAnsi="Times New Roman" w:eastAsia="宋体"/>
          <w:b/>
          <w:bCs/>
        </w:rPr>
      </w:pPr>
      <w:r>
        <w:rPr>
          <w:rFonts w:ascii="Times New Roman" w:hAnsi="Times New Roman" w:eastAsia="宋体"/>
          <w:b/>
          <w:bCs/>
        </w:rPr>
        <w:t>Observation 8: Aligned and misaligned channelization show similar performance in coexistence scenario.</w:t>
      </w:r>
    </w:p>
    <w:p>
      <w:pPr>
        <w:spacing w:line="360" w:lineRule="auto"/>
        <w:jc w:val="both"/>
        <w:rPr>
          <w:rFonts w:ascii="Arial" w:hAnsi="Arial" w:cs="Arial"/>
          <w:lang w:eastAsia="zh-CN"/>
        </w:rPr>
      </w:pPr>
      <w:bookmarkStart w:id="4" w:name="_Toc53776183"/>
      <w:r>
        <w:rPr>
          <w:rFonts w:hint="eastAsia" w:eastAsia="宋体"/>
          <w:b/>
          <w:bCs/>
          <w:lang w:eastAsia="zh-CN"/>
        </w:rPr>
        <w:t>Proposal 1: It is not necessary to align NR channelization with IEEE 802.11ad channelization from coexistence perspective.</w:t>
      </w:r>
      <w:bookmarkEnd w:id="4"/>
    </w:p>
    <w:p>
      <w:pPr>
        <w:rPr>
          <w:lang w:eastAsia="zh-CN"/>
        </w:rPr>
      </w:pPr>
    </w:p>
    <w:p>
      <w:pPr>
        <w:pStyle w:val="2"/>
        <w:rPr>
          <w:lang w:val="en-US" w:eastAsia="zh-CN"/>
        </w:rPr>
      </w:pPr>
      <w:r>
        <w:rPr>
          <w:rFonts w:hint="eastAsia"/>
          <w:lang w:val="en-US" w:eastAsia="zh-CN"/>
        </w:rPr>
        <w:t>Conclusion</w:t>
      </w:r>
    </w:p>
    <w:p>
      <w:pPr>
        <w:snapToGrid w:val="0"/>
        <w:spacing w:after="0" w:line="288" w:lineRule="auto"/>
        <w:jc w:val="both"/>
        <w:rPr>
          <w:rFonts w:eastAsia="宋体"/>
          <w:b/>
          <w:bCs/>
          <w:lang w:eastAsia="zh-CN"/>
        </w:rPr>
      </w:pPr>
      <w:r>
        <w:rPr>
          <w:rFonts w:hint="eastAsia" w:eastAsia="宋体"/>
          <w:b/>
          <w:bCs/>
          <w:lang w:eastAsia="zh-CN"/>
        </w:rPr>
        <w:t>Observation 1: ICI compensation based on legacy PTRS can achieve similar or better performance compared with ICI compensation based on block PTRS and hybrid PTRS.</w:t>
      </w:r>
    </w:p>
    <w:p>
      <w:pPr>
        <w:snapToGrid w:val="0"/>
        <w:spacing w:after="0" w:line="288" w:lineRule="auto"/>
      </w:pPr>
      <w:r>
        <w:rPr>
          <w:rFonts w:hint="eastAsia" w:eastAsia="宋体"/>
          <w:b/>
          <w:bCs/>
          <w:lang w:eastAsia="zh-CN"/>
        </w:rPr>
        <w:t>Observation 2: The calculation complexity of ICI compensation based on legacy PTRS, block PTRS and hybrid PTRS is similar.</w:t>
      </w:r>
    </w:p>
    <w:p>
      <w:pPr>
        <w:snapToGrid w:val="0"/>
        <w:spacing w:after="0" w:line="288" w:lineRule="auto"/>
        <w:jc w:val="both"/>
        <w:rPr>
          <w:rFonts w:eastAsia="宋体"/>
          <w:b/>
          <w:bCs/>
          <w:lang w:eastAsia="zh-CN"/>
        </w:rPr>
      </w:pPr>
      <w:r>
        <w:rPr>
          <w:rFonts w:hint="eastAsia" w:eastAsia="宋体"/>
          <w:b/>
          <w:bCs/>
          <w:lang w:eastAsia="zh-CN"/>
        </w:rPr>
        <w:t xml:space="preserve">Observation 3: Rel-15 DMRS Type 1 and </w:t>
      </w:r>
      <w:r>
        <w:rPr>
          <w:rFonts w:eastAsia="宋体"/>
          <w:b/>
          <w:bCs/>
          <w:lang w:eastAsia="zh-CN"/>
        </w:rPr>
        <w:t xml:space="preserve">the </w:t>
      </w:r>
      <w:r>
        <w:rPr>
          <w:rFonts w:hint="eastAsia" w:eastAsia="宋体"/>
          <w:b/>
          <w:bCs/>
          <w:lang w:eastAsia="zh-CN"/>
        </w:rPr>
        <w:t>new DMRS pattern</w:t>
      </w:r>
      <w:r>
        <w:rPr>
          <w:rFonts w:eastAsia="宋体"/>
          <w:b/>
          <w:bCs/>
          <w:lang w:eastAsia="zh-CN"/>
        </w:rPr>
        <w:t xml:space="preserve"> that fully occupied in frequency domain</w:t>
      </w:r>
      <w:r>
        <w:rPr>
          <w:rFonts w:hint="eastAsia" w:eastAsia="宋体"/>
          <w:b/>
          <w:bCs/>
          <w:lang w:eastAsia="zh-CN"/>
        </w:rPr>
        <w:t xml:space="preserve"> show comparable performance.</w:t>
      </w:r>
    </w:p>
    <w:p>
      <w:pPr>
        <w:widowControl w:val="0"/>
        <w:snapToGrid w:val="0"/>
        <w:spacing w:after="0" w:line="288" w:lineRule="auto"/>
        <w:jc w:val="both"/>
        <w:rPr>
          <w:rFonts w:eastAsia="宋体"/>
          <w:b/>
          <w:bCs/>
          <w:lang w:eastAsia="zh-CN"/>
        </w:rPr>
      </w:pPr>
      <w:r>
        <w:rPr>
          <w:rFonts w:hint="eastAsia" w:eastAsia="宋体"/>
          <w:b/>
          <w:bCs/>
          <w:lang w:eastAsia="zh-CN"/>
        </w:rPr>
        <w:t>Observation 4</w:t>
      </w:r>
      <w:r>
        <w:rPr>
          <w:rFonts w:eastAsia="宋体"/>
          <w:b/>
          <w:bCs/>
          <w:lang w:eastAsia="zh-CN"/>
        </w:rPr>
        <w:t>:</w:t>
      </w:r>
      <w:r>
        <w:rPr>
          <w:rFonts w:hint="eastAsia" w:eastAsia="宋体"/>
          <w:b/>
          <w:bCs/>
          <w:lang w:eastAsia="zh-CN"/>
        </w:rPr>
        <w:t xml:space="preserve"> </w:t>
      </w:r>
      <w:r>
        <w:rPr>
          <w:rFonts w:eastAsia="宋体"/>
          <w:b/>
          <w:bCs/>
          <w:lang w:eastAsia="zh-CN"/>
        </w:rPr>
        <w:t>T</w:t>
      </w:r>
      <w:r>
        <w:rPr>
          <w:rFonts w:hint="eastAsia" w:eastAsia="宋体"/>
          <w:b/>
          <w:bCs/>
          <w:lang w:eastAsia="zh-CN"/>
        </w:rPr>
        <w:t>he CGS extended sequence has lower CM than ZC sequence</w:t>
      </w:r>
      <w:r>
        <w:rPr>
          <w:rFonts w:eastAsia="宋体"/>
          <w:b/>
          <w:bCs/>
          <w:lang w:eastAsia="zh-CN"/>
        </w:rPr>
        <w:t xml:space="preserve"> when the PRB number is 10~20, while the performance gets worse for other numbers of PRBs</w:t>
      </w:r>
      <w:r>
        <w:rPr>
          <w:rFonts w:hint="eastAsia" w:eastAsia="宋体"/>
          <w:b/>
          <w:bCs/>
          <w:lang w:eastAsia="zh-CN"/>
        </w:rPr>
        <w:t>.</w:t>
      </w:r>
    </w:p>
    <w:p>
      <w:pPr>
        <w:widowControl w:val="0"/>
        <w:snapToGrid w:val="0"/>
        <w:spacing w:after="0" w:line="288" w:lineRule="auto"/>
        <w:jc w:val="both"/>
        <w:rPr>
          <w:rFonts w:eastAsia="宋体"/>
          <w:b/>
          <w:bCs/>
          <w:lang w:eastAsia="zh-CN"/>
        </w:rPr>
      </w:pPr>
      <w:r>
        <w:rPr>
          <w:rFonts w:hint="eastAsia" w:eastAsia="宋体"/>
          <w:b/>
          <w:bCs/>
          <w:lang w:eastAsia="zh-CN"/>
        </w:rPr>
        <w:t>Observation 5</w:t>
      </w:r>
      <w:r>
        <w:rPr>
          <w:rFonts w:eastAsia="宋体"/>
          <w:b/>
          <w:bCs/>
          <w:lang w:eastAsia="zh-CN"/>
        </w:rPr>
        <w:t>:</w:t>
      </w:r>
      <w:r>
        <w:rPr>
          <w:rFonts w:hint="eastAsia" w:eastAsia="宋体"/>
          <w:b/>
          <w:bCs/>
          <w:lang w:eastAsia="zh-CN"/>
        </w:rPr>
        <w:t xml:space="preserve"> The CM of ZC sequence is always kept under 2.5dB with different PRB number.</w:t>
      </w:r>
    </w:p>
    <w:p>
      <w:pPr>
        <w:snapToGrid w:val="0"/>
        <w:spacing w:after="0" w:line="288" w:lineRule="auto"/>
        <w:rPr>
          <w:rFonts w:eastAsia="宋体"/>
          <w:b/>
          <w:bCs/>
          <w:lang w:eastAsia="zh-CN"/>
        </w:rPr>
      </w:pPr>
      <w:r>
        <w:rPr>
          <w:rFonts w:hint="eastAsia" w:eastAsia="宋体"/>
          <w:b/>
          <w:bCs/>
          <w:lang w:eastAsia="zh-CN"/>
        </w:rPr>
        <w:t>Observation 6</w:t>
      </w:r>
      <w:r>
        <w:rPr>
          <w:rFonts w:eastAsia="宋体"/>
          <w:b/>
          <w:bCs/>
          <w:lang w:eastAsia="zh-CN"/>
        </w:rPr>
        <w:t>:</w:t>
      </w:r>
      <w:r>
        <w:rPr>
          <w:rFonts w:hint="eastAsia" w:eastAsia="宋体"/>
          <w:b/>
          <w:bCs/>
          <w:lang w:eastAsia="zh-CN"/>
        </w:rPr>
        <w:t xml:space="preserve"> The detection performance is proportional to the sequence length while independent of sequence types.</w:t>
      </w:r>
    </w:p>
    <w:p>
      <w:pPr>
        <w:snapToGrid w:val="0"/>
        <w:spacing w:after="0" w:line="288" w:lineRule="auto"/>
        <w:rPr>
          <w:rFonts w:eastAsia="宋体"/>
          <w:b/>
          <w:bCs/>
          <w:lang w:eastAsia="zh-CN"/>
        </w:rPr>
      </w:pPr>
      <w:r>
        <w:rPr>
          <w:rFonts w:hint="eastAsia" w:eastAsia="宋体"/>
          <w:b/>
          <w:bCs/>
          <w:lang w:eastAsia="zh-CN"/>
        </w:rPr>
        <w:t>Observation 7</w:t>
      </w:r>
      <w:r>
        <w:rPr>
          <w:rFonts w:eastAsia="宋体"/>
          <w:b/>
          <w:bCs/>
          <w:lang w:eastAsia="zh-CN"/>
        </w:rPr>
        <w:t>:</w:t>
      </w:r>
      <w:r>
        <w:rPr>
          <w:rFonts w:hint="eastAsia" w:eastAsia="宋体"/>
          <w:b/>
          <w:bCs/>
          <w:lang w:eastAsia="zh-CN"/>
        </w:rPr>
        <w:t xml:space="preserve"> The coverage becomes better with sequence length increasing while independent of sequence types.</w:t>
      </w:r>
    </w:p>
    <w:p>
      <w:pPr>
        <w:pStyle w:val="32"/>
        <w:snapToGrid w:val="0"/>
        <w:spacing w:after="0" w:line="288" w:lineRule="auto"/>
        <w:rPr>
          <w:rFonts w:eastAsia="宋体"/>
          <w:b/>
          <w:bCs/>
        </w:rPr>
      </w:pPr>
      <w:r>
        <w:rPr>
          <w:rFonts w:hint="eastAsia" w:ascii="Times New Roman" w:hAnsi="Times New Roman" w:eastAsia="宋体"/>
          <w:b/>
          <w:bCs/>
        </w:rPr>
        <w:t>Observation 8: Aligned and misaligned channelization show similar performance in coexistence scenario.</w:t>
      </w:r>
    </w:p>
    <w:p>
      <w:pPr>
        <w:snapToGrid w:val="0"/>
        <w:spacing w:after="0" w:line="288" w:lineRule="auto"/>
        <w:jc w:val="both"/>
        <w:rPr>
          <w:rFonts w:ascii="Arial" w:hAnsi="Arial" w:cs="Arial"/>
          <w:lang w:eastAsia="zh-CN"/>
        </w:rPr>
      </w:pPr>
      <w:r>
        <w:rPr>
          <w:rFonts w:hint="eastAsia" w:eastAsia="宋体"/>
          <w:b/>
          <w:bCs/>
          <w:lang w:eastAsia="zh-CN"/>
        </w:rPr>
        <w:t>Proposal 1: It is not necessary to align NR channelization with IEEE 802.11ad channelization from coexistence perspective.</w:t>
      </w:r>
    </w:p>
    <w:p>
      <w:pPr>
        <w:rPr>
          <w:rFonts w:eastAsia="宋体"/>
          <w:b/>
          <w:bCs/>
          <w:lang w:eastAsia="zh-CN"/>
        </w:rPr>
      </w:pPr>
      <w:r>
        <w:rPr>
          <w:rFonts w:hint="eastAsia" w:eastAsia="宋体"/>
          <w:b/>
          <w:bCs/>
          <w:lang w:eastAsia="zh-CN"/>
        </w:rPr>
        <w:t>.</w:t>
      </w:r>
    </w:p>
    <w:p>
      <w:pPr>
        <w:pStyle w:val="2"/>
        <w:rPr>
          <w:lang w:val="en-US" w:eastAsia="zh-CN"/>
        </w:rPr>
      </w:pPr>
      <w:r>
        <w:rPr>
          <w:rFonts w:hint="eastAsia"/>
          <w:lang w:val="en-US" w:eastAsia="zh-CN"/>
        </w:rPr>
        <w:t>Reference</w:t>
      </w:r>
    </w:p>
    <w:p>
      <w:pPr>
        <w:numPr>
          <w:ilvl w:val="0"/>
          <w:numId w:val="21"/>
        </w:numPr>
        <w:snapToGrid w:val="0"/>
        <w:spacing w:after="0" w:line="288" w:lineRule="auto"/>
        <w:jc w:val="both"/>
        <w:rPr>
          <w:rFonts w:eastAsia="宋体"/>
          <w:lang w:eastAsia="zh-CN"/>
        </w:rPr>
      </w:pPr>
      <w:r>
        <w:rPr>
          <w:rFonts w:hint="eastAsia" w:eastAsia="宋体"/>
          <w:lang w:eastAsia="zh-CN"/>
        </w:rPr>
        <w:t xml:space="preserve">   </w:t>
      </w:r>
      <w:r>
        <w:fldChar w:fldCharType="begin"/>
      </w:r>
      <w:r>
        <w:instrText xml:space="preserve"> HYPERLINK "http://www.3gpp.org/ftp/tsg_ran/TSG_RAN/TSGR_90e/Docs/RP-202925.zip" </w:instrText>
      </w:r>
      <w:r>
        <w:fldChar w:fldCharType="separate"/>
      </w:r>
      <w:r>
        <w:rPr>
          <w:rFonts w:hint="eastAsia" w:eastAsia="宋体"/>
          <w:lang w:eastAsia="zh-CN"/>
        </w:rPr>
        <w:t>RP-202925</w:t>
      </w:r>
      <w:r>
        <w:rPr>
          <w:rFonts w:hint="eastAsia" w:eastAsia="宋体"/>
          <w:lang w:eastAsia="zh-CN"/>
        </w:rPr>
        <w:fldChar w:fldCharType="end"/>
      </w:r>
      <w:r>
        <w:rPr>
          <w:rFonts w:hint="eastAsia" w:eastAsia="宋体"/>
          <w:lang w:eastAsia="zh-CN"/>
        </w:rPr>
        <w:t>, WID on extending current NR operation to 71 GHz</w:t>
      </w:r>
    </w:p>
    <w:p>
      <w:pPr>
        <w:numPr>
          <w:ilvl w:val="0"/>
          <w:numId w:val="21"/>
        </w:numPr>
        <w:snapToGrid w:val="0"/>
        <w:spacing w:after="0" w:line="288" w:lineRule="auto"/>
        <w:jc w:val="both"/>
        <w:rPr>
          <w:rFonts w:eastAsia="宋体"/>
          <w:lang w:eastAsia="zh-CN"/>
        </w:rPr>
      </w:pPr>
      <w:r>
        <w:rPr>
          <w:rFonts w:hint="eastAsia" w:eastAsia="宋体"/>
          <w:lang w:eastAsia="zh-CN"/>
        </w:rPr>
        <w:t xml:space="preserve">   38.213 g30, NR; Physical layer procedures for control(Release 16)</w:t>
      </w:r>
    </w:p>
    <w:p>
      <w:pPr>
        <w:numPr>
          <w:ilvl w:val="0"/>
          <w:numId w:val="21"/>
        </w:numPr>
        <w:snapToGrid w:val="0"/>
        <w:spacing w:after="0" w:line="288" w:lineRule="auto"/>
        <w:jc w:val="both"/>
        <w:rPr>
          <w:rFonts w:eastAsia="宋体"/>
          <w:lang w:eastAsia="zh-CN"/>
        </w:rPr>
      </w:pPr>
      <w:r>
        <w:rPr>
          <w:rFonts w:hint="eastAsia" w:eastAsia="宋体"/>
          <w:lang w:eastAsia="zh-CN"/>
        </w:rPr>
        <w:t xml:space="preserve">   38.331 g20, NR; Radio Resource Control (RRC) protocol specification(Release 16)</w:t>
      </w:r>
    </w:p>
    <w:p>
      <w:pPr>
        <w:numPr>
          <w:ilvl w:val="0"/>
          <w:numId w:val="21"/>
        </w:numPr>
        <w:autoSpaceDE/>
        <w:autoSpaceDN/>
        <w:adjustRightInd/>
        <w:snapToGrid w:val="0"/>
        <w:spacing w:after="0" w:line="288" w:lineRule="auto"/>
        <w:jc w:val="both"/>
        <w:rPr>
          <w:rFonts w:eastAsia="宋体"/>
          <w:lang w:eastAsia="zh-CN"/>
        </w:rPr>
      </w:pPr>
      <w:r>
        <w:rPr>
          <w:rFonts w:hint="eastAsia" w:eastAsia="宋体"/>
          <w:lang w:eastAsia="zh-CN"/>
        </w:rPr>
        <w:t xml:space="preserve">   R1-2005922 </w:t>
      </w:r>
      <w:r>
        <w:rPr>
          <w:sz w:val="22"/>
        </w:rPr>
        <w:t>On Phase Noise Compensation for OFDM</w:t>
      </w:r>
      <w:r>
        <w:rPr>
          <w:rFonts w:hint="eastAsia" w:eastAsia="宋体"/>
          <w:sz w:val="22"/>
          <w:lang w:eastAsia="zh-CN"/>
        </w:rPr>
        <w:t xml:space="preserve">, </w:t>
      </w:r>
      <w:r>
        <w:rPr>
          <w:rFonts w:hint="eastAsia" w:eastAsia="宋体"/>
          <w:lang w:eastAsia="zh-CN"/>
        </w:rPr>
        <w:t>Ericsson.</w:t>
      </w:r>
    </w:p>
    <w:p>
      <w:pPr>
        <w:numPr>
          <w:ilvl w:val="0"/>
          <w:numId w:val="21"/>
        </w:numPr>
        <w:autoSpaceDE/>
        <w:autoSpaceDN/>
        <w:adjustRightInd/>
        <w:snapToGrid w:val="0"/>
        <w:spacing w:after="0" w:line="288" w:lineRule="auto"/>
        <w:jc w:val="both"/>
        <w:rPr>
          <w:rFonts w:eastAsia="宋体"/>
          <w:sz w:val="21"/>
          <w:szCs w:val="22"/>
          <w:lang w:eastAsia="zh-CN"/>
        </w:rPr>
      </w:pPr>
      <w:r>
        <w:rPr>
          <w:rFonts w:hint="eastAsia" w:eastAsia="宋体"/>
          <w:sz w:val="21"/>
          <w:szCs w:val="22"/>
          <w:lang w:eastAsia="zh-CN"/>
        </w:rPr>
        <w:t xml:space="preserve">   R1-2007652 Discussions on required changes to NR using existing NR waveform, vivo</w:t>
      </w:r>
    </w:p>
    <w:p>
      <w:pPr>
        <w:rPr>
          <w:lang w:eastAsia="zh-CN"/>
        </w:rPr>
      </w:pPr>
    </w:p>
    <w:p>
      <w:pPr>
        <w:pStyle w:val="2"/>
        <w:ind w:left="0" w:firstLine="0"/>
        <w:rPr>
          <w:lang w:val="en-US" w:eastAsia="zh-CN"/>
        </w:rPr>
      </w:pPr>
      <w:r>
        <w:rPr>
          <w:rFonts w:hint="eastAsia"/>
          <w:lang w:val="en-US" w:eastAsia="zh-CN"/>
        </w:rPr>
        <w:t>Appendix</w:t>
      </w:r>
    </w:p>
    <w:p>
      <w:pPr>
        <w:pStyle w:val="3"/>
        <w:numPr>
          <w:ilvl w:val="1"/>
          <w:numId w:val="0"/>
        </w:numPr>
        <w:rPr>
          <w:lang w:val="en-US" w:eastAsia="zh-CN"/>
        </w:rPr>
      </w:pPr>
      <w:r>
        <w:rPr>
          <w:rFonts w:hint="eastAsia"/>
          <w:lang w:val="en-US" w:eastAsia="zh-CN"/>
        </w:rPr>
        <w:t xml:space="preserve">A1. </w:t>
      </w:r>
      <w:r>
        <w:rPr>
          <w:lang w:val="en-US" w:eastAsia="zh-CN"/>
        </w:rPr>
        <w:t>L</w:t>
      </w:r>
      <w:r>
        <w:rPr>
          <w:rFonts w:hint="eastAsia"/>
          <w:lang w:val="en-US" w:eastAsia="zh-CN"/>
        </w:rPr>
        <w:t>ink level</w:t>
      </w:r>
      <w:r>
        <w:rPr>
          <w:lang w:val="en-US" w:eastAsia="zh-CN"/>
        </w:rPr>
        <w:t xml:space="preserve"> </w:t>
      </w:r>
      <w:r>
        <w:rPr>
          <w:rFonts w:hint="eastAsia"/>
          <w:lang w:val="en-US" w:eastAsia="zh-CN"/>
        </w:rPr>
        <w:t>simulation assumptions</w:t>
      </w:r>
    </w:p>
    <w:p>
      <w:pPr>
        <w:jc w:val="center"/>
        <w:rPr>
          <w:lang w:eastAsia="zh-CN"/>
        </w:rPr>
      </w:pPr>
      <w:r>
        <w:rPr>
          <w:rFonts w:hint="eastAsia"/>
          <w:lang w:eastAsia="zh-CN"/>
        </w:rPr>
        <w:t>Table A1-1 Link level simulation assumption</w:t>
      </w:r>
    </w:p>
    <w:tbl>
      <w:tblPr>
        <w:tblStyle w:val="62"/>
        <w:tblW w:w="66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pStyle w:val="96"/>
              <w:snapToGrid w:val="0"/>
              <w:rPr>
                <w:lang w:val="en-US"/>
              </w:rPr>
            </w:pPr>
            <w:r>
              <w:rPr>
                <w:szCs w:val="22"/>
                <w:lang w:val="en-US"/>
              </w:rPr>
              <w:t>Parameters</w:t>
            </w:r>
          </w:p>
        </w:tc>
        <w:tc>
          <w:tcPr>
            <w:tcW w:w="3419" w:type="dxa"/>
          </w:tcPr>
          <w:p>
            <w:pPr>
              <w:pStyle w:val="96"/>
              <w:snapToGrid w:val="0"/>
              <w:rPr>
                <w:lang w:val="en-US"/>
              </w:rPr>
            </w:pPr>
            <w:r>
              <w:rPr>
                <w:rFonts w:hint="eastAsia"/>
                <w:szCs w:val="22"/>
                <w:lang w:val="en-US"/>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Carrier Frequency</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hint="eastAsia" w:ascii="Calibri" w:hAnsi="Calibri" w:eastAsia="宋体"/>
                <w:lang w:val="de-DE" w:eastAsia="zh-CN"/>
              </w:rPr>
              <w:t>Waveform</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eastAsia="宋体"/>
                <w:lang w:val="de-DE" w:eastAsia="zh-CN"/>
              </w:rPr>
            </w:pPr>
            <w:r>
              <w:rPr>
                <w:rFonts w:ascii="Calibri" w:hAnsi="Calibri" w:eastAsia="宋体"/>
                <w:lang w:val="de-DE" w:eastAsia="zh-CN"/>
              </w:rPr>
              <w:t>System</w:t>
            </w:r>
            <w:r>
              <w:rPr>
                <w:rFonts w:hint="eastAsia" w:ascii="Calibri" w:hAnsi="Calibri" w:eastAsia="宋体"/>
                <w:lang w:val="de-DE" w:eastAsia="zh-CN"/>
              </w:rPr>
              <w:t xml:space="preserve"> Bandwidth</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eastAsia="宋体"/>
                <w:lang w:val="de-DE" w:eastAsia="zh-CN"/>
              </w:rPr>
            </w:pPr>
            <w:r>
              <w:rPr>
                <w:rFonts w:hint="eastAsia" w:ascii="Calibri" w:hAnsi="Calibri" w:eastAsia="宋体"/>
                <w:lang w:val="de-DE" w:eastAsia="zh-CN"/>
              </w:rPr>
              <w:t>Subcarrier spacing</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120kHz/480kHz/960kHz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eastAsia="宋体"/>
                <w:lang w:val="de-DE" w:eastAsia="zh-CN"/>
              </w:rPr>
            </w:pPr>
            <w:r>
              <w:rPr>
                <w:rFonts w:hint="eastAsia" w:ascii="Calibri" w:hAnsi="Calibri" w:eastAsia="宋体"/>
                <w:lang w:val="de-DE" w:eastAsia="zh-CN"/>
              </w:rPr>
              <w:t>CP type</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Channel Model</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eastAsia="宋体"/>
                <w:lang w:val="de-DE" w:eastAsia="zh-CN"/>
              </w:rPr>
            </w:pPr>
            <w:r>
              <w:rPr>
                <w:rFonts w:hint="eastAsia" w:ascii="Calibri" w:hAnsi="Calibri" w:eastAsia="宋体"/>
                <w:lang w:val="de-DE" w:eastAsia="zh-CN"/>
              </w:rPr>
              <w:t>PN model</w:t>
            </w:r>
          </w:p>
        </w:tc>
        <w:tc>
          <w:tcPr>
            <w:tcW w:w="3419" w:type="dxa"/>
          </w:tcPr>
          <w:p>
            <w:pPr>
              <w:snapToGrid w:val="0"/>
              <w:spacing w:after="0"/>
              <w:rPr>
                <w:rFonts w:ascii="Calibri" w:hAnsi="Calibri" w:eastAsia="宋体"/>
                <w:lang w:val="de-DE" w:eastAsia="zh-CN"/>
              </w:rPr>
            </w:pPr>
            <w:r>
              <w:rPr>
                <w:rFonts w:ascii="Calibri" w:hAnsi="Calibri" w:eastAsia="宋体"/>
                <w:lang w:val="de-DE"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hint="eastAsia" w:ascii="Calibri" w:hAnsi="Calibri" w:eastAsia="宋体"/>
                <w:lang w:val="de-DE" w:eastAsia="zh-CN"/>
              </w:rPr>
              <w:t>DMRS</w:t>
            </w:r>
            <w:r>
              <w:rPr>
                <w:rFonts w:ascii="Calibri" w:hAnsi="Calibri"/>
                <w:lang w:val="de-DE"/>
              </w:rPr>
              <w:t xml:space="preserve"> Configuration</w:t>
            </w:r>
          </w:p>
        </w:tc>
        <w:tc>
          <w:tcPr>
            <w:tcW w:w="3419" w:type="dxa"/>
          </w:tcPr>
          <w:p>
            <w:pPr>
              <w:snapToGrid w:val="0"/>
              <w:spacing w:after="0"/>
              <w:rPr>
                <w:rFonts w:ascii="Calibri" w:hAnsi="Calibri"/>
                <w:lang w:val="de-DE"/>
              </w:rPr>
            </w:pPr>
            <w:r>
              <w:rPr>
                <w:rFonts w:ascii="Calibri" w:hAnsi="Calibri"/>
                <w:lang w:val="de-DE"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PTRS Configuration</w:t>
            </w:r>
          </w:p>
        </w:tc>
        <w:tc>
          <w:tcPr>
            <w:tcW w:w="3419" w:type="dxa"/>
          </w:tcPr>
          <w:p>
            <w:pPr>
              <w:snapToGrid w:val="0"/>
              <w:spacing w:after="0"/>
              <w:rPr>
                <w:rFonts w:ascii="Calibri" w:hAnsi="Calibri" w:eastAsia="宋体"/>
                <w:lang w:val="de-DE" w:eastAsia="zh-CN"/>
              </w:rPr>
            </w:pPr>
            <w:r>
              <w:rPr>
                <w:rFonts w:ascii="Calibri" w:hAnsi="Calibri" w:eastAsia="宋体"/>
                <w:lang w:val="de-DE"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SLIV</w:t>
            </w:r>
          </w:p>
        </w:tc>
        <w:tc>
          <w:tcPr>
            <w:tcW w:w="3419" w:type="dxa"/>
          </w:tcPr>
          <w:p>
            <w:pPr>
              <w:snapToGrid w:val="0"/>
              <w:spacing w:after="0"/>
              <w:rPr>
                <w:rFonts w:ascii="Calibri" w:hAnsi="Calibri" w:eastAsia="宋体"/>
                <w:lang w:val="de-DE" w:eastAsia="zh-CN"/>
              </w:rPr>
            </w:pPr>
            <w:r>
              <w:rPr>
                <w:rFonts w:ascii="Calibri" w:hAnsi="Calibri" w:eastAsia="宋体"/>
                <w:lang w:val="de-DE"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Channel Estimation</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hint="eastAsia" w:ascii="Calibri" w:hAnsi="Calibri" w:eastAsia="宋体"/>
                <w:lang w:val="de-DE" w:eastAsia="zh-CN"/>
              </w:rPr>
              <w:t>PN</w:t>
            </w:r>
            <w:r>
              <w:rPr>
                <w:rFonts w:ascii="Calibri" w:hAnsi="Calibri"/>
                <w:lang w:val="de-DE"/>
              </w:rPr>
              <w:t xml:space="preserve"> Estimation</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eastAsia="宋体"/>
                <w:lang w:val="de-DE" w:eastAsia="zh-CN"/>
              </w:rPr>
            </w:pPr>
            <w:r>
              <w:rPr>
                <w:rFonts w:hint="eastAsia" w:ascii="Calibri" w:hAnsi="Calibri" w:eastAsia="宋体"/>
                <w:lang w:val="de-DE" w:eastAsia="zh-CN"/>
              </w:rPr>
              <w:t>PN compensation</w:t>
            </w:r>
          </w:p>
        </w:tc>
        <w:tc>
          <w:tcPr>
            <w:tcW w:w="3419" w:type="dxa"/>
          </w:tcPr>
          <w:p>
            <w:pPr>
              <w:snapToGrid w:val="0"/>
              <w:spacing w:after="0"/>
              <w:rPr>
                <w:rFonts w:ascii="Calibri" w:hAnsi="Calibri" w:eastAsia="宋体"/>
                <w:lang w:val="de-DE" w:eastAsia="zh-CN"/>
              </w:rPr>
            </w:pPr>
            <w:r>
              <w:rPr>
                <w:rFonts w:hint="eastAsia" w:ascii="Calibri" w:hAnsi="Calibri" w:eastAsia="宋体"/>
                <w:lang w:val="de-DE"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UE receiver</w:t>
            </w:r>
          </w:p>
        </w:tc>
        <w:tc>
          <w:tcPr>
            <w:tcW w:w="3419" w:type="dxa"/>
          </w:tcPr>
          <w:p>
            <w:pPr>
              <w:snapToGrid w:val="0"/>
              <w:spacing w:after="0"/>
              <w:rPr>
                <w:rFonts w:ascii="Calibri" w:hAnsi="Calibri"/>
                <w:lang w:val="de-DE"/>
              </w:rPr>
            </w:pPr>
            <w:r>
              <w:rPr>
                <w:rFonts w:ascii="Calibri" w:hAnsi="Calibri"/>
                <w:lang w:val="de-DE"/>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BS antenna Array configuration</w:t>
            </w:r>
          </w:p>
        </w:tc>
        <w:tc>
          <w:tcPr>
            <w:tcW w:w="3419" w:type="dxa"/>
          </w:tcPr>
          <w:p>
            <w:pPr>
              <w:snapToGrid w:val="0"/>
              <w:spacing w:after="0"/>
              <w:rPr>
                <w:rFonts w:ascii="Calibri" w:hAnsi="Calibri"/>
                <w:lang w:val="de-DE"/>
              </w:rPr>
            </w:pPr>
            <w:r>
              <w:rPr>
                <w:rFonts w:hint="eastAsia" w:ascii="Calibri" w:hAnsi="Calibri" w:eastAsia="宋体"/>
                <w:lang w:val="de-DE"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snapToGrid w:val="0"/>
              <w:spacing w:after="0"/>
              <w:rPr>
                <w:rFonts w:ascii="Calibri" w:hAnsi="Calibri"/>
                <w:lang w:val="de-DE"/>
              </w:rPr>
            </w:pPr>
            <w:r>
              <w:rPr>
                <w:rFonts w:ascii="Calibri" w:hAnsi="Calibri"/>
                <w:lang w:val="de-DE"/>
              </w:rPr>
              <w:t>UE antenna Array configuration</w:t>
            </w:r>
          </w:p>
        </w:tc>
        <w:tc>
          <w:tcPr>
            <w:tcW w:w="3419" w:type="dxa"/>
          </w:tcPr>
          <w:p>
            <w:pPr>
              <w:snapToGrid w:val="0"/>
              <w:spacing w:after="0"/>
              <w:rPr>
                <w:rFonts w:ascii="Calibri" w:hAnsi="Calibri"/>
                <w:lang w:val="de-DE"/>
              </w:rPr>
            </w:pPr>
            <w:r>
              <w:rPr>
                <w:rFonts w:hint="eastAsia" w:ascii="Calibri" w:hAnsi="Calibri" w:eastAsia="宋体"/>
                <w:lang w:val="de-DE" w:eastAsia="zh-CN"/>
              </w:rPr>
              <w:t>2</w:t>
            </w:r>
          </w:p>
        </w:tc>
      </w:tr>
    </w:tbl>
    <w:p>
      <w:pPr>
        <w:rPr>
          <w:rFonts w:eastAsia="宋体"/>
          <w:lang w:eastAsia="zh-CN"/>
        </w:rPr>
      </w:pPr>
    </w:p>
    <w:p>
      <w:pPr>
        <w:pStyle w:val="3"/>
        <w:numPr>
          <w:ilvl w:val="1"/>
          <w:numId w:val="0"/>
        </w:numPr>
        <w:rPr>
          <w:lang w:val="en-US" w:eastAsia="zh-CN"/>
        </w:rPr>
      </w:pPr>
      <w:r>
        <w:rPr>
          <w:rFonts w:hint="eastAsia"/>
          <w:lang w:val="en-US" w:eastAsia="zh-CN"/>
        </w:rPr>
        <w:t>A2. System level simulation assumptions</w:t>
      </w:r>
    </w:p>
    <w:p>
      <w:pPr>
        <w:jc w:val="center"/>
        <w:rPr>
          <w:lang w:eastAsia="zh-CN"/>
        </w:rPr>
      </w:pPr>
      <w:r>
        <w:rPr>
          <w:rFonts w:hint="eastAsia"/>
          <w:lang w:eastAsia="zh-CN"/>
        </w:rPr>
        <w:t>Table A2-1 SLS simulation assumption</w:t>
      </w:r>
    </w:p>
    <w:tbl>
      <w:tblPr>
        <w:tblStyle w:val="62"/>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4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Parameters</w:t>
            </w:r>
          </w:p>
        </w:tc>
        <w:tc>
          <w:tcPr>
            <w:tcW w:w="4547" w:type="dxa"/>
          </w:tcPr>
          <w:p>
            <w:pPr>
              <w:rPr>
                <w:rFonts w:ascii="Calibri" w:hAnsi="Calibri"/>
                <w:lang w:val="de-DE" w:eastAsia="zh-CN"/>
              </w:rPr>
            </w:pPr>
            <w:r>
              <w:rPr>
                <w:rFonts w:hint="eastAsia" w:ascii="Calibri" w:hAnsi="Calibri"/>
                <w:lang w:val="de-DE"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Carrier Frequency</w:t>
            </w:r>
          </w:p>
        </w:tc>
        <w:tc>
          <w:tcPr>
            <w:tcW w:w="4547" w:type="dxa"/>
          </w:tcPr>
          <w:p>
            <w:pPr>
              <w:rPr>
                <w:rFonts w:ascii="Calibri" w:hAnsi="Calibri"/>
                <w:lang w:val="de-DE" w:eastAsia="zh-CN"/>
              </w:rPr>
            </w:pPr>
            <w:r>
              <w:rPr>
                <w:rFonts w:hint="eastAsia" w:ascii="Calibri" w:hAnsi="Calibri"/>
                <w:lang w:val="de-DE"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Channel Bandwidth</w:t>
            </w:r>
          </w:p>
        </w:tc>
        <w:tc>
          <w:tcPr>
            <w:tcW w:w="4547" w:type="dxa"/>
          </w:tcPr>
          <w:p>
            <w:pPr>
              <w:rPr>
                <w:rFonts w:ascii="Calibri" w:hAnsi="Calibri"/>
                <w:lang w:val="de-DE" w:eastAsia="zh-CN"/>
              </w:rPr>
            </w:pPr>
            <w:r>
              <w:rPr>
                <w:rFonts w:hint="eastAsia" w:ascii="Calibri" w:hAnsi="Calibri"/>
                <w:lang w:val="de-DE" w:eastAsia="zh-CN"/>
              </w:rPr>
              <w:t>2GHz/800M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3255" w:type="dxa"/>
          </w:tcPr>
          <w:p>
            <w:pPr>
              <w:rPr>
                <w:rFonts w:ascii="Calibri" w:hAnsi="Calibri"/>
                <w:lang w:val="de-DE" w:eastAsia="zh-CN"/>
              </w:rPr>
            </w:pPr>
            <w:r>
              <w:rPr>
                <w:rFonts w:hint="eastAsia" w:ascii="Calibri" w:hAnsi="Calibri"/>
                <w:lang w:val="de-DE" w:eastAsia="zh-CN"/>
              </w:rPr>
              <w:t>Subcarrier spacing</w:t>
            </w:r>
          </w:p>
        </w:tc>
        <w:tc>
          <w:tcPr>
            <w:tcW w:w="4547" w:type="dxa"/>
          </w:tcPr>
          <w:p>
            <w:pPr>
              <w:rPr>
                <w:rFonts w:ascii="Calibri" w:hAnsi="Calibri"/>
                <w:lang w:val="de-DE" w:eastAsia="zh-CN"/>
              </w:rPr>
            </w:pPr>
            <w:r>
              <w:rPr>
                <w:rFonts w:hint="eastAsia" w:ascii="Calibri" w:hAnsi="Calibri"/>
                <w:lang w:val="de-DE" w:eastAsia="zh-CN"/>
              </w:rPr>
              <w:t>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Scenario</w:t>
            </w:r>
          </w:p>
        </w:tc>
        <w:tc>
          <w:tcPr>
            <w:tcW w:w="4547" w:type="dxa"/>
          </w:tcPr>
          <w:p>
            <w:pPr>
              <w:rPr>
                <w:rFonts w:ascii="Calibri" w:hAnsi="Calibri"/>
                <w:lang w:val="de-DE" w:eastAsia="zh-CN"/>
              </w:rPr>
            </w:pPr>
            <w:r>
              <w:rPr>
                <w:rFonts w:hint="eastAsia" w:ascii="Calibri" w:hAnsi="Calibri"/>
                <w:lang w:val="de-DE" w:eastAsia="zh-CN"/>
              </w:rPr>
              <w:t xml:space="preserve">Indoor 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LBT schemes</w:t>
            </w:r>
          </w:p>
        </w:tc>
        <w:tc>
          <w:tcPr>
            <w:tcW w:w="4547" w:type="dxa"/>
          </w:tcPr>
          <w:p>
            <w:pPr>
              <w:rPr>
                <w:rFonts w:ascii="Calibri" w:hAnsi="Calibri"/>
                <w:lang w:val="de-DE" w:eastAsia="zh-CN"/>
              </w:rPr>
            </w:pPr>
            <w:r>
              <w:rPr>
                <w:rFonts w:hint="eastAsia" w:ascii="Calibri" w:hAnsi="Calibri"/>
                <w:lang w:val="de-DE" w:eastAsia="zh-CN"/>
              </w:rPr>
              <w:t>NoLBT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Channel Model</w:t>
            </w:r>
          </w:p>
        </w:tc>
        <w:tc>
          <w:tcPr>
            <w:tcW w:w="4547" w:type="dxa"/>
          </w:tcPr>
          <w:p>
            <w:pPr>
              <w:rPr>
                <w:rFonts w:ascii="Calibri" w:hAnsi="Calibri"/>
                <w:lang w:val="de-DE" w:eastAsia="zh-CN"/>
              </w:rPr>
            </w:pPr>
            <w:r>
              <w:rPr>
                <w:rFonts w:hint="eastAsia" w:ascii="Calibri" w:hAnsi="Calibri"/>
                <w:lang w:val="de-DE" w:eastAsia="zh-CN"/>
              </w:rPr>
              <w:t>The channel model for UE-to-UE links：InH open office: InH – office channel model with LOS probability for indoor - mixed office from TR38.901</w:t>
            </w:r>
          </w:p>
          <w:p>
            <w:pPr>
              <w:rPr>
                <w:rFonts w:ascii="Calibri" w:hAnsi="Calibri"/>
                <w:lang w:val="de-DE" w:eastAsia="zh-CN"/>
              </w:rPr>
            </w:pPr>
            <w:r>
              <w:rPr>
                <w:rFonts w:hint="eastAsia" w:ascii="Calibri" w:hAnsi="Calibri"/>
                <w:lang w:val="de-DE" w:eastAsia="zh-CN"/>
              </w:rPr>
              <w:t>The channel model for gNB-to-UE and gNB-gNB links：InH open office: InH – office channel model with LOS probability for indoor - open office from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Max. allowed BS Tx power</w:t>
            </w:r>
          </w:p>
        </w:tc>
        <w:tc>
          <w:tcPr>
            <w:tcW w:w="4547" w:type="dxa"/>
          </w:tcPr>
          <w:p>
            <w:pPr>
              <w:rPr>
                <w:rFonts w:ascii="Calibri" w:hAnsi="Calibri"/>
                <w:lang w:val="de-DE" w:eastAsia="zh-CN"/>
              </w:rPr>
            </w:pPr>
            <w:r>
              <w:rPr>
                <w:rFonts w:hint="eastAsia" w:ascii="Calibri" w:hAnsi="Calibri"/>
                <w:lang w:val="de-DE" w:eastAsia="zh-CN"/>
              </w:rPr>
              <w:t>40 dBm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jc w:val="center"/>
        </w:trPr>
        <w:tc>
          <w:tcPr>
            <w:tcW w:w="3255" w:type="dxa"/>
          </w:tcPr>
          <w:p>
            <w:pPr>
              <w:rPr>
                <w:rFonts w:ascii="Calibri" w:hAnsi="Calibri"/>
                <w:lang w:val="de-DE" w:eastAsia="zh-CN"/>
              </w:rPr>
            </w:pPr>
            <w:r>
              <w:rPr>
                <w:rFonts w:hint="eastAsia" w:ascii="Calibri" w:hAnsi="Calibri"/>
                <w:lang w:val="de-DE" w:eastAsia="zh-CN"/>
              </w:rPr>
              <w:t>Max. allowed UE Tx Power</w:t>
            </w:r>
          </w:p>
        </w:tc>
        <w:tc>
          <w:tcPr>
            <w:tcW w:w="4547" w:type="dxa"/>
          </w:tcPr>
          <w:p>
            <w:pPr>
              <w:rPr>
                <w:rFonts w:ascii="Calibri" w:hAnsi="Calibri"/>
                <w:lang w:val="de-DE" w:eastAsia="zh-CN"/>
              </w:rPr>
            </w:pPr>
            <w:r>
              <w:rPr>
                <w:rFonts w:hint="eastAsia" w:ascii="Calibri" w:hAnsi="Calibri"/>
                <w:lang w:val="de-DE" w:eastAsia="zh-CN"/>
              </w:rPr>
              <w:t>25 dBm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BS Antenna gain</w:t>
            </w:r>
          </w:p>
        </w:tc>
        <w:tc>
          <w:tcPr>
            <w:tcW w:w="4547" w:type="dxa"/>
          </w:tcPr>
          <w:p>
            <w:pPr>
              <w:rPr>
                <w:rFonts w:ascii="Calibri" w:hAnsi="Calibri"/>
                <w:lang w:val="de-DE" w:eastAsia="zh-CN"/>
              </w:rPr>
            </w:pPr>
            <w:r>
              <w:rPr>
                <w:rFonts w:hint="eastAsia" w:ascii="Calibri" w:hAnsi="Calibri"/>
                <w:lang w:val="de-DE"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UE Antenna gain</w:t>
            </w:r>
          </w:p>
        </w:tc>
        <w:tc>
          <w:tcPr>
            <w:tcW w:w="4547" w:type="dxa"/>
          </w:tcPr>
          <w:p>
            <w:pPr>
              <w:rPr>
                <w:rFonts w:ascii="Calibri" w:hAnsi="Calibri"/>
                <w:lang w:val="de-DE" w:eastAsia="zh-CN"/>
              </w:rPr>
            </w:pPr>
            <w:r>
              <w:rPr>
                <w:rFonts w:hint="eastAsia" w:ascii="Calibri" w:hAnsi="Calibri"/>
                <w:lang w:val="de-DE"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BS Noise Figure</w:t>
            </w:r>
          </w:p>
        </w:tc>
        <w:tc>
          <w:tcPr>
            <w:tcW w:w="4547" w:type="dxa"/>
          </w:tcPr>
          <w:p>
            <w:pPr>
              <w:rPr>
                <w:rFonts w:ascii="Calibri" w:hAnsi="Calibri"/>
                <w:lang w:val="de-DE" w:eastAsia="zh-CN"/>
              </w:rPr>
            </w:pPr>
            <w:r>
              <w:rPr>
                <w:rFonts w:hint="eastAsia" w:ascii="Calibri" w:hAnsi="Calibri"/>
                <w:lang w:val="de-DE" w:eastAsia="zh-CN"/>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UE Receiver Noise Figure</w:t>
            </w:r>
          </w:p>
        </w:tc>
        <w:tc>
          <w:tcPr>
            <w:tcW w:w="4547" w:type="dxa"/>
          </w:tcPr>
          <w:p>
            <w:pPr>
              <w:rPr>
                <w:rFonts w:ascii="Calibri" w:hAnsi="Calibri"/>
                <w:lang w:val="de-DE" w:eastAsia="zh-CN"/>
              </w:rPr>
            </w:pPr>
            <w:r>
              <w:rPr>
                <w:rFonts w:hint="eastAsia" w:ascii="Calibri" w:hAnsi="Calibri"/>
                <w:lang w:val="de-DE"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UE receiver</w:t>
            </w:r>
          </w:p>
        </w:tc>
        <w:tc>
          <w:tcPr>
            <w:tcW w:w="4547" w:type="dxa"/>
          </w:tcPr>
          <w:p>
            <w:pPr>
              <w:rPr>
                <w:rFonts w:ascii="Calibri" w:hAnsi="Calibri"/>
                <w:lang w:val="de-DE" w:eastAsia="zh-CN"/>
              </w:rPr>
            </w:pPr>
            <w:r>
              <w:rPr>
                <w:rFonts w:hint="eastAsia" w:ascii="Calibri" w:hAnsi="Calibri"/>
                <w:lang w:val="de-DE" w:eastAsia="zh-C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BS antenna Array configuration</w:t>
            </w:r>
          </w:p>
        </w:tc>
        <w:tc>
          <w:tcPr>
            <w:tcW w:w="4547" w:type="dxa"/>
          </w:tcPr>
          <w:p>
            <w:pPr>
              <w:rPr>
                <w:rFonts w:ascii="Calibri" w:hAnsi="Calibri"/>
                <w:lang w:val="de-DE" w:eastAsia="zh-CN"/>
              </w:rPr>
            </w:pPr>
            <w:r>
              <w:rPr>
                <w:rFonts w:hint="eastAsia" w:ascii="Calibri" w:hAnsi="Calibri"/>
                <w:lang w:val="de-DE" w:eastAsia="zh-CN"/>
              </w:rPr>
              <w:t xml:space="preserve"> (M, N, P, Mg, Ng) = (4, 8, 2, 1, 1), dH = dV = 0.5 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UE antenna Array configuration</w:t>
            </w:r>
          </w:p>
        </w:tc>
        <w:tc>
          <w:tcPr>
            <w:tcW w:w="4547" w:type="dxa"/>
          </w:tcPr>
          <w:p>
            <w:pPr>
              <w:rPr>
                <w:rFonts w:ascii="Calibri" w:hAnsi="Calibri"/>
                <w:lang w:val="de-DE" w:eastAsia="zh-CN"/>
              </w:rPr>
            </w:pPr>
            <w:r>
              <w:rPr>
                <w:rFonts w:hint="eastAsia" w:ascii="Calibri" w:hAnsi="Calibri"/>
                <w:lang w:val="de-DE" w:eastAsia="zh-CN"/>
              </w:rPr>
              <w:t xml:space="preserve">(M, N, P, Mg, Ng) = (2, 2, 2, 1, 2), dH = dV = 0.5 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Pr>
          <w:p>
            <w:pPr>
              <w:rPr>
                <w:rFonts w:ascii="Calibri" w:hAnsi="Calibri"/>
                <w:lang w:val="de-DE" w:eastAsia="zh-CN"/>
              </w:rPr>
            </w:pPr>
            <w:r>
              <w:rPr>
                <w:rFonts w:hint="eastAsia" w:ascii="Calibri" w:hAnsi="Calibri"/>
                <w:lang w:val="de-DE" w:eastAsia="zh-CN"/>
              </w:rPr>
              <w:t>Traffic model</w:t>
            </w:r>
          </w:p>
        </w:tc>
        <w:tc>
          <w:tcPr>
            <w:tcW w:w="4547" w:type="dxa"/>
          </w:tcPr>
          <w:p>
            <w:pPr>
              <w:rPr>
                <w:rFonts w:ascii="Calibri" w:hAnsi="Calibri"/>
                <w:lang w:val="de-DE" w:eastAsia="zh-CN"/>
              </w:rPr>
            </w:pPr>
            <w:r>
              <w:rPr>
                <w:rFonts w:hint="eastAsia" w:ascii="Calibri" w:hAnsi="Calibri"/>
                <w:lang w:val="de-DE" w:eastAsia="zh-CN"/>
              </w:rPr>
              <w:t>FTP Model 3 (27Mbyte file)</w:t>
            </w:r>
          </w:p>
        </w:tc>
      </w:tr>
    </w:tbl>
    <w:p>
      <w:pPr>
        <w:rPr>
          <w:lang w:eastAsia="zh-CN"/>
        </w:rPr>
      </w:pPr>
    </w:p>
    <w:p>
      <w:pPr>
        <w:pStyle w:val="3"/>
        <w:rPr>
          <w:lang w:val="en-US" w:eastAsia="zh-CN"/>
        </w:rPr>
      </w:pPr>
      <w:r>
        <w:rPr>
          <w:rFonts w:hint="eastAsia"/>
          <w:lang w:val="en-US" w:eastAsia="zh-CN"/>
        </w:rPr>
        <w:t>A3. System level simulation results</w:t>
      </w:r>
    </w:p>
    <w:p>
      <w:pPr>
        <w:jc w:val="center"/>
        <w:rPr>
          <w:lang w:eastAsia="zh-CN"/>
        </w:rPr>
      </w:pPr>
      <w:r>
        <w:rPr>
          <w:rFonts w:hint="eastAsia"/>
          <w:lang w:eastAsia="zh-CN"/>
        </w:rPr>
        <w:t>Table A3-1  performance of aligned cases with low traffic load</w:t>
      </w:r>
    </w:p>
    <w:tbl>
      <w:tblPr>
        <w:tblStyle w:val="61"/>
        <w:tblW w:w="8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002"/>
        <w:gridCol w:w="1728"/>
        <w:gridCol w:w="1728"/>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spacing w:line="720" w:lineRule="auto"/>
              <w:jc w:val="center"/>
              <w:rPr>
                <w:rFonts w:eastAsia="宋体"/>
                <w:sz w:val="18"/>
                <w:szCs w:val="18"/>
                <w:lang w:eastAsia="zh-CN"/>
              </w:rPr>
            </w:pPr>
            <w:r>
              <w:rPr>
                <w:rFonts w:hint="eastAsia" w:eastAsia="宋体"/>
                <w:sz w:val="18"/>
                <w:szCs w:val="18"/>
                <w:lang w:eastAsia="zh-CN"/>
              </w:rPr>
              <w:t>Simulator Case</w:t>
            </w:r>
          </w:p>
        </w:tc>
        <w:tc>
          <w:tcPr>
            <w:tcW w:w="3456" w:type="dxa"/>
            <w:gridSpan w:val="2"/>
            <w:shd w:val="clear" w:color="auto" w:fill="auto"/>
          </w:tcPr>
          <w:p>
            <w:pPr>
              <w:spacing w:line="720" w:lineRule="auto"/>
              <w:jc w:val="center"/>
              <w:rPr>
                <w:rFonts w:eastAsia="宋体"/>
                <w:sz w:val="18"/>
                <w:szCs w:val="18"/>
                <w:lang w:eastAsia="zh-CN"/>
              </w:rPr>
            </w:pPr>
            <w:r>
              <w:rPr>
                <w:rFonts w:hint="eastAsia"/>
                <w:sz w:val="18"/>
                <w:szCs w:val="18"/>
                <w:lang w:eastAsia="zh-CN"/>
              </w:rPr>
              <w:t>2G &amp; 2G</w:t>
            </w:r>
          </w:p>
        </w:tc>
        <w:tc>
          <w:tcPr>
            <w:tcW w:w="3456" w:type="dxa"/>
            <w:gridSpan w:val="2"/>
            <w:shd w:val="clear" w:color="auto" w:fill="auto"/>
          </w:tcPr>
          <w:p>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 &amp; 4*500M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tcBorders>
              <w:tl2br w:val="single" w:color="auto" w:sz="4" w:space="0"/>
            </w:tcBorders>
            <w:shd w:val="clear" w:color="auto" w:fill="auto"/>
          </w:tcPr>
          <w:p>
            <w:pPr>
              <w:ind w:firstLine="900" w:firstLineChars="500"/>
              <w:rPr>
                <w:rFonts w:eastAsia="宋体"/>
                <w:sz w:val="18"/>
                <w:szCs w:val="18"/>
                <w:lang w:eastAsia="zh-CN"/>
              </w:rPr>
            </w:pPr>
            <w:r>
              <w:rPr>
                <w:rFonts w:hint="eastAsia"/>
                <w:sz w:val="18"/>
                <w:szCs w:val="18"/>
                <w:lang w:eastAsia="zh-CN"/>
              </w:rPr>
              <w:t>Operator</w:t>
            </w:r>
          </w:p>
          <w:p>
            <w:pPr>
              <w:rPr>
                <w:sz w:val="18"/>
                <w:szCs w:val="18"/>
              </w:rPr>
            </w:pPr>
            <w:r>
              <w:rPr>
                <w:sz w:val="18"/>
                <w:szCs w:val="18"/>
              </w:rPr>
              <w:t xml:space="preserve">Metrics              </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pPr>
              <w:jc w:val="center"/>
              <w:rPr>
                <w:sz w:val="18"/>
                <w:szCs w:val="18"/>
              </w:rPr>
            </w:pPr>
            <w:r>
              <w:rPr>
                <w:rFonts w:hint="eastAsia"/>
                <w:sz w:val="18"/>
                <w:szCs w:val="18"/>
                <w:lang w:eastAsia="zh-CN"/>
              </w:rPr>
              <w:t>Operator A</w:t>
            </w:r>
          </w:p>
        </w:tc>
        <w:tc>
          <w:tcPr>
            <w:tcW w:w="1728" w:type="dxa"/>
            <w:shd w:val="clear" w:color="auto" w:fill="auto"/>
          </w:tcPr>
          <w:p>
            <w:pPr>
              <w:jc w:val="center"/>
              <w:rPr>
                <w:sz w:val="18"/>
                <w:szCs w:val="18"/>
              </w:rPr>
            </w:pPr>
            <w:r>
              <w:rPr>
                <w:rFonts w:hint="eastAsia"/>
                <w:sz w:val="18"/>
                <w:szCs w:val="18"/>
                <w:lang w:eastAsia="zh-CN"/>
              </w:rPr>
              <w:t>Operator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UPT (Mbps)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3792.6211 </w:t>
            </w:r>
          </w:p>
        </w:tc>
        <w:tc>
          <w:tcPr>
            <w:tcW w:w="1728" w:type="dxa"/>
            <w:shd w:val="clear" w:color="auto" w:fill="auto"/>
            <w:vAlign w:val="center"/>
          </w:tcPr>
          <w:p>
            <w:pPr>
              <w:jc w:val="center"/>
              <w:rPr>
                <w:sz w:val="18"/>
                <w:szCs w:val="18"/>
              </w:rPr>
            </w:pPr>
            <w:r>
              <w:rPr>
                <w:rFonts w:hint="eastAsia"/>
                <w:sz w:val="18"/>
                <w:szCs w:val="18"/>
                <w:lang w:eastAsia="zh-CN"/>
              </w:rPr>
              <w:t xml:space="preserve">2644.4617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4167.1111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1207.5562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sz w:val="18"/>
                <w:szCs w:val="18"/>
              </w:rPr>
            </w:pPr>
            <w:r>
              <w:rPr>
                <w:rFonts w:hint="eastAsia"/>
                <w:sz w:val="18"/>
                <w:szCs w:val="18"/>
              </w:rPr>
              <w:t xml:space="preserve">13847.2783  </w:t>
            </w:r>
          </w:p>
        </w:tc>
        <w:tc>
          <w:tcPr>
            <w:tcW w:w="1728" w:type="dxa"/>
            <w:shd w:val="clear" w:color="auto" w:fill="auto"/>
            <w:vAlign w:val="center"/>
          </w:tcPr>
          <w:p>
            <w:pPr>
              <w:jc w:val="center"/>
              <w:rPr>
                <w:sz w:val="18"/>
                <w:szCs w:val="18"/>
              </w:rPr>
            </w:pPr>
            <w:r>
              <w:rPr>
                <w:rFonts w:hint="eastAsia"/>
                <w:sz w:val="18"/>
                <w:szCs w:val="18"/>
                <w:lang w:eastAsia="zh-CN"/>
              </w:rPr>
              <w:t xml:space="preserve">12334.5322 </w:t>
            </w:r>
            <w:r>
              <w:rPr>
                <w:rFonts w:hint="eastAsia"/>
                <w:sz w:val="18"/>
                <w:szCs w:val="18"/>
              </w:rPr>
              <w:t xml:space="preserve">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14256.0244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6883.7781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sz w:val="18"/>
                <w:szCs w:val="18"/>
              </w:rPr>
            </w:pPr>
            <w:r>
              <w:rPr>
                <w:rFonts w:hint="eastAsia"/>
                <w:sz w:val="18"/>
                <w:szCs w:val="18"/>
              </w:rPr>
              <w:t xml:space="preserve">20711.5645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19690.7852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21600.0000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13213.9731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sz w:val="18"/>
                <w:szCs w:val="18"/>
              </w:rPr>
            </w:pPr>
            <w:r>
              <w:rPr>
                <w:rFonts w:hint="eastAsia"/>
                <w:sz w:val="18"/>
                <w:szCs w:val="18"/>
                <w:lang w:eastAsia="zh-CN"/>
              </w:rPr>
              <w:t>13063.9492</w:t>
            </w:r>
          </w:p>
        </w:tc>
        <w:tc>
          <w:tcPr>
            <w:tcW w:w="1728" w:type="dxa"/>
            <w:shd w:val="clear" w:color="auto" w:fill="auto"/>
            <w:vAlign w:val="center"/>
          </w:tcPr>
          <w:p>
            <w:pPr>
              <w:jc w:val="center"/>
              <w:rPr>
                <w:sz w:val="18"/>
                <w:szCs w:val="18"/>
              </w:rPr>
            </w:pPr>
            <w:r>
              <w:rPr>
                <w:rFonts w:hint="eastAsia"/>
                <w:sz w:val="18"/>
                <w:szCs w:val="18"/>
              </w:rPr>
              <w:t xml:space="preserve">12585.8379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12919.0938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6474.5538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25" w:type="dxa"/>
            <w:vMerge w:val="restart"/>
            <w:shd w:val="clear" w:color="auto" w:fill="auto"/>
          </w:tcPr>
          <w:p>
            <w:pPr>
              <w:rPr>
                <w:sz w:val="18"/>
                <w:szCs w:val="18"/>
              </w:rPr>
            </w:pPr>
            <w:r>
              <w:rPr>
                <w:sz w:val="18"/>
                <w:szCs w:val="18"/>
              </w:rPr>
              <w:t>DL delay (s)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0.010 </w:t>
            </w:r>
          </w:p>
        </w:tc>
        <w:tc>
          <w:tcPr>
            <w:tcW w:w="1728" w:type="dxa"/>
            <w:shd w:val="clear" w:color="auto" w:fill="auto"/>
            <w:vAlign w:val="center"/>
          </w:tcPr>
          <w:p>
            <w:pPr>
              <w:jc w:val="center"/>
              <w:rPr>
                <w:sz w:val="18"/>
                <w:szCs w:val="18"/>
              </w:rPr>
            </w:pPr>
            <w:r>
              <w:rPr>
                <w:rFonts w:hint="eastAsia"/>
                <w:sz w:val="18"/>
                <w:szCs w:val="18"/>
              </w:rPr>
              <w:t>0.0</w:t>
            </w:r>
            <w:r>
              <w:rPr>
                <w:rFonts w:hint="eastAsia"/>
                <w:sz w:val="18"/>
                <w:szCs w:val="18"/>
                <w:lang w:eastAsia="zh-CN"/>
              </w:rPr>
              <w:t>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sz w:val="18"/>
                <w:szCs w:val="18"/>
              </w:rPr>
            </w:pPr>
            <w:r>
              <w:rPr>
                <w:rFonts w:hint="eastAsia"/>
                <w:sz w:val="18"/>
                <w:szCs w:val="18"/>
              </w:rPr>
              <w:t>0.0</w:t>
            </w:r>
            <w:r>
              <w:rPr>
                <w:rFonts w:hint="eastAsia"/>
                <w:sz w:val="18"/>
                <w:szCs w:val="18"/>
                <w:lang w:eastAsia="zh-CN"/>
              </w:rPr>
              <w:t>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sz w:val="18"/>
                <w:szCs w:val="18"/>
              </w:rPr>
            </w:pPr>
            <w:r>
              <w:rPr>
                <w:rFonts w:hint="eastAsia"/>
                <w:sz w:val="18"/>
                <w:szCs w:val="18"/>
              </w:rPr>
              <w:t>0.</w:t>
            </w:r>
            <w:r>
              <w:rPr>
                <w:rFonts w:hint="eastAsia"/>
                <w:sz w:val="18"/>
                <w:szCs w:val="18"/>
                <w:lang w:eastAsia="zh-CN"/>
              </w:rPr>
              <w:t>072</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0.086</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0.069</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sz w:val="18"/>
                <w:szCs w:val="18"/>
                <w:highlight w:val="yellow"/>
              </w:rPr>
            </w:pPr>
            <w:r>
              <w:rPr>
                <w:rFonts w:hint="eastAsia"/>
                <w:sz w:val="18"/>
                <w:szCs w:val="18"/>
              </w:rPr>
              <w:t>0.0</w:t>
            </w:r>
            <w:r>
              <w:rPr>
                <w:rFonts w:hint="eastAsia"/>
                <w:sz w:val="18"/>
                <w:szCs w:val="18"/>
                <w:lang w:eastAsia="zh-CN"/>
              </w:rPr>
              <w:t>25</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lang w:eastAsia="zh-CN"/>
              </w:rPr>
              <w:t>0.029</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0.025</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pPr>
              <w:jc w:val="center"/>
              <w:rPr>
                <w:rFonts w:eastAsia="等线"/>
                <w:sz w:val="18"/>
                <w:szCs w:val="18"/>
                <w:lang w:eastAsia="zh-CN"/>
              </w:rPr>
            </w:pPr>
            <w:r>
              <w:rPr>
                <w:rFonts w:hint="eastAsia" w:eastAsia="等线"/>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rFonts w:eastAsia="等线"/>
                <w:sz w:val="18"/>
                <w:szCs w:val="18"/>
              </w:rPr>
            </w:pPr>
            <w:r>
              <w:rPr>
                <w:rFonts w:eastAsia="等线"/>
                <w:sz w:val="18"/>
                <w:szCs w:val="18"/>
              </w:rPr>
              <w:t>BO</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23.295</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28.051</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19.703 </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71.944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8939" w:type="dxa"/>
            <w:gridSpan w:val="6"/>
            <w:shd w:val="clear" w:color="auto" w:fill="auto"/>
          </w:tcPr>
          <w:p>
            <w:pPr>
              <w:rPr>
                <w:rFonts w:eastAsia="等线"/>
                <w:color w:val="FF0000"/>
                <w:sz w:val="18"/>
                <w:szCs w:val="18"/>
              </w:rPr>
            </w:pPr>
          </w:p>
        </w:tc>
      </w:tr>
    </w:tbl>
    <w:p>
      <w:pPr>
        <w:spacing w:after="0"/>
        <w:jc w:val="both"/>
        <w:rPr>
          <w:sz w:val="24"/>
          <w:szCs w:val="24"/>
          <w:lang w:eastAsia="zh-CN"/>
        </w:rPr>
      </w:pPr>
    </w:p>
    <w:p>
      <w:pPr>
        <w:spacing w:after="0"/>
        <w:jc w:val="both"/>
        <w:rPr>
          <w:sz w:val="24"/>
          <w:szCs w:val="24"/>
          <w:lang w:eastAsia="zh-CN"/>
        </w:rPr>
      </w:pPr>
    </w:p>
    <w:p>
      <w:pPr>
        <w:jc w:val="center"/>
        <w:rPr>
          <w:lang w:eastAsia="zh-CN"/>
        </w:rPr>
      </w:pPr>
      <w:r>
        <w:rPr>
          <w:rFonts w:hint="eastAsia"/>
          <w:lang w:eastAsia="zh-CN"/>
        </w:rPr>
        <w:t>Table A3-2  performance of aligned cases with medium traffic load</w:t>
      </w:r>
    </w:p>
    <w:p>
      <w:pPr>
        <w:spacing w:after="0"/>
        <w:jc w:val="both"/>
        <w:rPr>
          <w:sz w:val="24"/>
          <w:szCs w:val="24"/>
          <w:lang w:eastAsia="zh-CN"/>
        </w:rPr>
      </w:pPr>
    </w:p>
    <w:tbl>
      <w:tblPr>
        <w:tblStyle w:val="61"/>
        <w:tblW w:w="8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002"/>
        <w:gridCol w:w="1728"/>
        <w:gridCol w:w="1728"/>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spacing w:line="720" w:lineRule="auto"/>
              <w:jc w:val="center"/>
              <w:rPr>
                <w:rFonts w:eastAsia="宋体"/>
                <w:sz w:val="18"/>
                <w:szCs w:val="18"/>
                <w:lang w:eastAsia="zh-CN"/>
              </w:rPr>
            </w:pPr>
            <w:r>
              <w:rPr>
                <w:rFonts w:hint="eastAsia" w:eastAsia="宋体"/>
                <w:sz w:val="18"/>
                <w:szCs w:val="18"/>
                <w:lang w:eastAsia="zh-CN"/>
              </w:rPr>
              <w:t>Simulator Case</w:t>
            </w:r>
          </w:p>
        </w:tc>
        <w:tc>
          <w:tcPr>
            <w:tcW w:w="3456" w:type="dxa"/>
            <w:gridSpan w:val="2"/>
            <w:shd w:val="clear" w:color="auto" w:fill="auto"/>
          </w:tcPr>
          <w:p>
            <w:pPr>
              <w:spacing w:line="720" w:lineRule="auto"/>
              <w:jc w:val="center"/>
              <w:rPr>
                <w:rFonts w:eastAsia="宋体"/>
                <w:sz w:val="18"/>
                <w:szCs w:val="18"/>
                <w:lang w:eastAsia="zh-CN"/>
              </w:rPr>
            </w:pPr>
            <w:r>
              <w:rPr>
                <w:rFonts w:hint="eastAsia"/>
                <w:sz w:val="18"/>
                <w:szCs w:val="18"/>
                <w:lang w:eastAsia="zh-CN"/>
              </w:rPr>
              <w:t>2G &amp; 2G</w:t>
            </w:r>
          </w:p>
        </w:tc>
        <w:tc>
          <w:tcPr>
            <w:tcW w:w="3456" w:type="dxa"/>
            <w:gridSpan w:val="2"/>
            <w:shd w:val="clear" w:color="auto" w:fill="auto"/>
          </w:tcPr>
          <w:p>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 &amp; 4*500M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tcBorders>
              <w:tl2br w:val="single" w:color="auto" w:sz="4" w:space="0"/>
            </w:tcBorders>
            <w:shd w:val="clear" w:color="auto" w:fill="auto"/>
          </w:tcPr>
          <w:p>
            <w:pPr>
              <w:ind w:firstLine="900" w:firstLineChars="500"/>
              <w:rPr>
                <w:rFonts w:eastAsia="宋体"/>
                <w:sz w:val="18"/>
                <w:szCs w:val="18"/>
                <w:lang w:eastAsia="zh-CN"/>
              </w:rPr>
            </w:pPr>
            <w:r>
              <w:rPr>
                <w:rFonts w:hint="eastAsia"/>
                <w:sz w:val="18"/>
                <w:szCs w:val="18"/>
                <w:lang w:eastAsia="zh-CN"/>
              </w:rPr>
              <w:t>Operator</w:t>
            </w:r>
          </w:p>
          <w:p>
            <w:pPr>
              <w:rPr>
                <w:sz w:val="18"/>
                <w:szCs w:val="18"/>
              </w:rPr>
            </w:pPr>
            <w:r>
              <w:rPr>
                <w:sz w:val="18"/>
                <w:szCs w:val="18"/>
              </w:rPr>
              <w:t xml:space="preserve">Metrics              </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pPr>
              <w:jc w:val="center"/>
              <w:rPr>
                <w:sz w:val="18"/>
                <w:szCs w:val="18"/>
              </w:rPr>
            </w:pPr>
            <w:r>
              <w:rPr>
                <w:rFonts w:hint="eastAsia"/>
                <w:sz w:val="18"/>
                <w:szCs w:val="18"/>
                <w:lang w:eastAsia="zh-CN"/>
              </w:rPr>
              <w:t>Operator A</w:t>
            </w:r>
          </w:p>
        </w:tc>
        <w:tc>
          <w:tcPr>
            <w:tcW w:w="1728" w:type="dxa"/>
            <w:shd w:val="clear" w:color="auto" w:fill="auto"/>
          </w:tcPr>
          <w:p>
            <w:pPr>
              <w:jc w:val="center"/>
              <w:rPr>
                <w:sz w:val="18"/>
                <w:szCs w:val="18"/>
              </w:rPr>
            </w:pPr>
            <w:r>
              <w:rPr>
                <w:rFonts w:hint="eastAsia"/>
                <w:sz w:val="18"/>
                <w:szCs w:val="18"/>
                <w:lang w:eastAsia="zh-CN"/>
              </w:rPr>
              <w:t>Operator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UPT (Mbps)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659.2416  </w:t>
            </w:r>
          </w:p>
        </w:tc>
        <w:tc>
          <w:tcPr>
            <w:tcW w:w="1728" w:type="dxa"/>
            <w:shd w:val="clear" w:color="auto" w:fill="auto"/>
            <w:vAlign w:val="center"/>
          </w:tcPr>
          <w:p>
            <w:pPr>
              <w:jc w:val="center"/>
              <w:rPr>
                <w:sz w:val="18"/>
                <w:szCs w:val="18"/>
              </w:rPr>
            </w:pPr>
            <w:r>
              <w:rPr>
                <w:rFonts w:hint="eastAsia"/>
                <w:sz w:val="18"/>
                <w:szCs w:val="18"/>
              </w:rPr>
              <w:t xml:space="preserve">493.5231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1517.9063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730.4522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sz w:val="18"/>
                <w:szCs w:val="18"/>
              </w:rPr>
            </w:pPr>
            <w:r>
              <w:rPr>
                <w:rFonts w:hint="eastAsia"/>
                <w:sz w:val="18"/>
                <w:szCs w:val="18"/>
              </w:rPr>
              <w:t xml:space="preserve">8828.8125  </w:t>
            </w:r>
          </w:p>
        </w:tc>
        <w:tc>
          <w:tcPr>
            <w:tcW w:w="1728" w:type="dxa"/>
            <w:shd w:val="clear" w:color="auto" w:fill="auto"/>
            <w:vAlign w:val="center"/>
          </w:tcPr>
          <w:p>
            <w:pPr>
              <w:jc w:val="center"/>
              <w:rPr>
                <w:sz w:val="18"/>
                <w:szCs w:val="18"/>
              </w:rPr>
            </w:pPr>
            <w:r>
              <w:rPr>
                <w:rFonts w:hint="eastAsia"/>
                <w:sz w:val="18"/>
                <w:szCs w:val="18"/>
              </w:rPr>
              <w:t xml:space="preserve">9626.2949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9725.1035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3426.3316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sz w:val="18"/>
                <w:szCs w:val="18"/>
              </w:rPr>
            </w:pPr>
            <w:r>
              <w:rPr>
                <w:rFonts w:hint="eastAsia"/>
                <w:sz w:val="18"/>
                <w:szCs w:val="18"/>
              </w:rPr>
              <w:t xml:space="preserve">19264.3535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18512.9844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19322.4707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6470.0743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sz w:val="18"/>
                <w:szCs w:val="18"/>
              </w:rPr>
            </w:pPr>
            <w:r>
              <w:rPr>
                <w:rFonts w:hint="eastAsia"/>
                <w:sz w:val="18"/>
                <w:szCs w:val="18"/>
              </w:rPr>
              <w:t>10142.6377</w:t>
            </w:r>
          </w:p>
        </w:tc>
        <w:tc>
          <w:tcPr>
            <w:tcW w:w="1728" w:type="dxa"/>
            <w:shd w:val="clear" w:color="auto" w:fill="auto"/>
            <w:vAlign w:val="center"/>
          </w:tcPr>
          <w:p>
            <w:pPr>
              <w:jc w:val="center"/>
              <w:rPr>
                <w:sz w:val="18"/>
                <w:szCs w:val="18"/>
              </w:rPr>
            </w:pPr>
            <w:r>
              <w:rPr>
                <w:rFonts w:hint="eastAsia"/>
                <w:sz w:val="18"/>
                <w:szCs w:val="18"/>
              </w:rPr>
              <w:t xml:space="preserve">10208.5811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10950.2646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3213.3989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delay (s)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0.010 </w:t>
            </w:r>
          </w:p>
        </w:tc>
        <w:tc>
          <w:tcPr>
            <w:tcW w:w="1728" w:type="dxa"/>
            <w:shd w:val="clear" w:color="auto" w:fill="auto"/>
            <w:vAlign w:val="center"/>
          </w:tcPr>
          <w:p>
            <w:pPr>
              <w:jc w:val="center"/>
              <w:rPr>
                <w:sz w:val="18"/>
                <w:szCs w:val="18"/>
              </w:rPr>
            </w:pPr>
            <w:r>
              <w:rPr>
                <w:rFonts w:hint="eastAsia"/>
                <w:sz w:val="18"/>
                <w:szCs w:val="18"/>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rFonts w:eastAsia="宋体"/>
                <w:sz w:val="18"/>
                <w:szCs w:val="18"/>
                <w:lang w:eastAsia="zh-CN"/>
              </w:rPr>
            </w:pPr>
            <w:r>
              <w:rPr>
                <w:rFonts w:hint="eastAsia"/>
                <w:sz w:val="18"/>
                <w:szCs w:val="18"/>
              </w:rPr>
              <w:t>0.0</w:t>
            </w:r>
            <w:r>
              <w:rPr>
                <w:rFonts w:hint="eastAsia"/>
                <w:sz w:val="18"/>
                <w:szCs w:val="18"/>
                <w:lang w:eastAsia="zh-CN"/>
              </w:rPr>
              <w:t>23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0.020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rFonts w:eastAsia="宋体"/>
                <w:sz w:val="18"/>
                <w:szCs w:val="18"/>
                <w:lang w:eastAsia="zh-CN"/>
              </w:rPr>
            </w:pPr>
            <w:r>
              <w:rPr>
                <w:rFonts w:hint="eastAsia"/>
                <w:sz w:val="18"/>
                <w:szCs w:val="18"/>
              </w:rPr>
              <w:t>0.</w:t>
            </w:r>
            <w:r>
              <w:rPr>
                <w:rFonts w:hint="eastAsia"/>
                <w:sz w:val="18"/>
                <w:szCs w:val="18"/>
                <w:lang w:eastAsia="zh-CN"/>
              </w:rPr>
              <w:t>400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0.386</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0.203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rPr>
              <w:t>0.</w:t>
            </w:r>
            <w:r>
              <w:rPr>
                <w:rFonts w:hint="eastAsia"/>
                <w:sz w:val="18"/>
                <w:szCs w:val="18"/>
                <w:lang w:eastAsia="zh-CN"/>
              </w:rPr>
              <w:t>145</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lang w:eastAsia="zh-CN"/>
              </w:rPr>
              <w:t>0.110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0.087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pPr>
              <w:jc w:val="center"/>
              <w:rPr>
                <w:rFonts w:eastAsia="等线"/>
                <w:sz w:val="18"/>
                <w:szCs w:val="18"/>
                <w:lang w:eastAsia="zh-CN"/>
              </w:rPr>
            </w:pPr>
            <w:r>
              <w:rPr>
                <w:rFonts w:hint="eastAsia" w:eastAsia="等线"/>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rFonts w:eastAsia="等线"/>
                <w:sz w:val="18"/>
                <w:szCs w:val="18"/>
              </w:rPr>
            </w:pPr>
            <w:r>
              <w:rPr>
                <w:rFonts w:eastAsia="等线"/>
                <w:sz w:val="18"/>
                <w:szCs w:val="18"/>
              </w:rPr>
              <w:t>BO</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54.048</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55.161  </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42.425 </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91.496  </w:t>
            </w:r>
          </w:p>
        </w:tc>
      </w:tr>
    </w:tbl>
    <w:p>
      <w:pPr>
        <w:spacing w:after="0"/>
        <w:jc w:val="both"/>
        <w:rPr>
          <w:sz w:val="24"/>
          <w:szCs w:val="24"/>
          <w:lang w:eastAsia="zh-CN"/>
        </w:rPr>
      </w:pPr>
    </w:p>
    <w:p>
      <w:pPr>
        <w:spacing w:after="0"/>
        <w:jc w:val="both"/>
        <w:rPr>
          <w:sz w:val="24"/>
          <w:szCs w:val="24"/>
          <w:lang w:eastAsia="zh-CN"/>
        </w:rPr>
      </w:pPr>
    </w:p>
    <w:p>
      <w:pPr>
        <w:jc w:val="center"/>
        <w:rPr>
          <w:sz w:val="24"/>
          <w:szCs w:val="24"/>
          <w:lang w:eastAsia="zh-CN"/>
        </w:rPr>
      </w:pPr>
      <w:r>
        <w:rPr>
          <w:rFonts w:hint="eastAsia"/>
          <w:lang w:eastAsia="zh-CN"/>
        </w:rPr>
        <w:t>Table A3-</w:t>
      </w:r>
      <w:r>
        <w:rPr>
          <w:rFonts w:hint="eastAsia"/>
          <w:lang w:val="en-US" w:eastAsia="zh-CN"/>
        </w:rPr>
        <w:t>3</w:t>
      </w:r>
      <w:r>
        <w:rPr>
          <w:rFonts w:hint="eastAsia"/>
          <w:lang w:eastAsia="zh-CN"/>
        </w:rPr>
        <w:t xml:space="preserve">  performance of misaligned case with low traffic load</w:t>
      </w:r>
    </w:p>
    <w:tbl>
      <w:tblPr>
        <w:tblStyle w:val="61"/>
        <w:tblW w:w="8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002"/>
        <w:gridCol w:w="1728"/>
        <w:gridCol w:w="1728"/>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spacing w:line="720" w:lineRule="auto"/>
              <w:jc w:val="center"/>
              <w:rPr>
                <w:rFonts w:eastAsia="宋体"/>
                <w:sz w:val="18"/>
                <w:szCs w:val="18"/>
                <w:lang w:eastAsia="zh-CN"/>
              </w:rPr>
            </w:pPr>
            <w:r>
              <w:rPr>
                <w:rFonts w:hint="eastAsia" w:eastAsia="宋体"/>
                <w:sz w:val="18"/>
                <w:szCs w:val="18"/>
                <w:lang w:eastAsia="zh-CN"/>
              </w:rPr>
              <w:t>Simulator Case</w:t>
            </w:r>
          </w:p>
        </w:tc>
        <w:tc>
          <w:tcPr>
            <w:tcW w:w="3456" w:type="dxa"/>
            <w:gridSpan w:val="2"/>
            <w:shd w:val="clear" w:color="auto" w:fill="auto"/>
          </w:tcPr>
          <w:p>
            <w:pPr>
              <w:spacing w:line="720" w:lineRule="auto"/>
              <w:jc w:val="center"/>
              <w:rPr>
                <w:rFonts w:eastAsia="宋体"/>
                <w:sz w:val="18"/>
                <w:szCs w:val="18"/>
                <w:lang w:eastAsia="zh-CN"/>
              </w:rPr>
            </w:pPr>
            <w:r>
              <w:rPr>
                <w:rFonts w:hint="eastAsia"/>
                <w:sz w:val="18"/>
                <w:szCs w:val="18"/>
                <w:lang w:eastAsia="zh-CN"/>
              </w:rPr>
              <w:t>2G &amp; 2G</w:t>
            </w:r>
          </w:p>
        </w:tc>
        <w:tc>
          <w:tcPr>
            <w:tcW w:w="3456" w:type="dxa"/>
            <w:gridSpan w:val="2"/>
            <w:shd w:val="clear" w:color="auto" w:fill="auto"/>
          </w:tcPr>
          <w:p>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 &amp; 3*800M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tcBorders>
              <w:tl2br w:val="single" w:color="auto" w:sz="4" w:space="0"/>
            </w:tcBorders>
            <w:shd w:val="clear" w:color="auto" w:fill="auto"/>
          </w:tcPr>
          <w:p>
            <w:pPr>
              <w:ind w:firstLine="900" w:firstLineChars="500"/>
              <w:rPr>
                <w:rFonts w:eastAsia="宋体"/>
                <w:sz w:val="18"/>
                <w:szCs w:val="18"/>
                <w:lang w:eastAsia="zh-CN"/>
              </w:rPr>
            </w:pPr>
            <w:r>
              <w:rPr>
                <w:rFonts w:hint="eastAsia"/>
                <w:sz w:val="18"/>
                <w:szCs w:val="18"/>
                <w:lang w:eastAsia="zh-CN"/>
              </w:rPr>
              <w:t>Operator</w:t>
            </w:r>
          </w:p>
          <w:p>
            <w:pPr>
              <w:rPr>
                <w:sz w:val="18"/>
                <w:szCs w:val="18"/>
              </w:rPr>
            </w:pPr>
            <w:r>
              <w:rPr>
                <w:sz w:val="18"/>
                <w:szCs w:val="18"/>
              </w:rPr>
              <w:t xml:space="preserve">Metrics              </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pPr>
              <w:jc w:val="center"/>
              <w:rPr>
                <w:sz w:val="18"/>
                <w:szCs w:val="18"/>
              </w:rPr>
            </w:pPr>
            <w:r>
              <w:rPr>
                <w:rFonts w:hint="eastAsia"/>
                <w:sz w:val="18"/>
                <w:szCs w:val="18"/>
                <w:lang w:eastAsia="zh-CN"/>
              </w:rPr>
              <w:t>Operator A</w:t>
            </w:r>
          </w:p>
        </w:tc>
        <w:tc>
          <w:tcPr>
            <w:tcW w:w="1728" w:type="dxa"/>
            <w:shd w:val="clear" w:color="auto" w:fill="auto"/>
          </w:tcPr>
          <w:p>
            <w:pPr>
              <w:jc w:val="center"/>
              <w:rPr>
                <w:sz w:val="18"/>
                <w:szCs w:val="18"/>
              </w:rPr>
            </w:pPr>
            <w:r>
              <w:rPr>
                <w:rFonts w:hint="eastAsia"/>
                <w:sz w:val="18"/>
                <w:szCs w:val="18"/>
                <w:lang w:eastAsia="zh-CN"/>
              </w:rPr>
              <w:t>Operator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UPT (Mbps)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3792.6211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2644.4617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3734.2539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1221.7268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sz w:val="18"/>
                <w:szCs w:val="18"/>
              </w:rPr>
            </w:pPr>
            <w:r>
              <w:rPr>
                <w:rFonts w:hint="eastAsia"/>
                <w:sz w:val="18"/>
                <w:szCs w:val="18"/>
              </w:rPr>
              <w:t xml:space="preserve">13847.2783  </w:t>
            </w:r>
          </w:p>
        </w:tc>
        <w:tc>
          <w:tcPr>
            <w:tcW w:w="1728" w:type="dxa"/>
            <w:shd w:val="clear" w:color="auto" w:fill="auto"/>
            <w:vAlign w:val="center"/>
          </w:tcPr>
          <w:p>
            <w:pPr>
              <w:jc w:val="center"/>
              <w:rPr>
                <w:sz w:val="18"/>
                <w:szCs w:val="18"/>
              </w:rPr>
            </w:pPr>
            <w:r>
              <w:rPr>
                <w:rFonts w:hint="eastAsia"/>
                <w:sz w:val="18"/>
                <w:szCs w:val="18"/>
                <w:lang w:eastAsia="zh-CN"/>
              </w:rPr>
              <w:t xml:space="preserve">12334.5322 </w:t>
            </w:r>
            <w:r>
              <w:rPr>
                <w:rFonts w:hint="eastAsia"/>
                <w:sz w:val="18"/>
                <w:szCs w:val="18"/>
              </w:rPr>
              <w:t xml:space="preserve">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13770.3828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5215.4150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sz w:val="18"/>
                <w:szCs w:val="18"/>
              </w:rPr>
            </w:pPr>
            <w:r>
              <w:rPr>
                <w:rFonts w:hint="eastAsia"/>
                <w:sz w:val="18"/>
                <w:szCs w:val="18"/>
              </w:rPr>
              <w:t xml:space="preserve">20711.5645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19690.7852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20861.8145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12570.0743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13063.9492</w:t>
            </w:r>
          </w:p>
        </w:tc>
        <w:tc>
          <w:tcPr>
            <w:tcW w:w="1728" w:type="dxa"/>
            <w:shd w:val="clear" w:color="auto" w:fill="auto"/>
            <w:vAlign w:val="center"/>
          </w:tcPr>
          <w:p>
            <w:pPr>
              <w:jc w:val="center"/>
              <w:rPr>
                <w:sz w:val="18"/>
                <w:szCs w:val="18"/>
              </w:rPr>
            </w:pPr>
            <w:r>
              <w:rPr>
                <w:rFonts w:hint="eastAsia"/>
                <w:sz w:val="18"/>
                <w:szCs w:val="18"/>
              </w:rPr>
              <w:t xml:space="preserve">12585.8379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13088.0127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8462.4682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delay (s)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0.010 </w:t>
            </w:r>
          </w:p>
        </w:tc>
        <w:tc>
          <w:tcPr>
            <w:tcW w:w="1728" w:type="dxa"/>
            <w:shd w:val="clear" w:color="auto" w:fill="auto"/>
            <w:vAlign w:val="center"/>
          </w:tcPr>
          <w:p>
            <w:pPr>
              <w:jc w:val="center"/>
              <w:rPr>
                <w:rFonts w:eastAsia="宋体"/>
                <w:sz w:val="18"/>
                <w:szCs w:val="18"/>
                <w:lang w:eastAsia="zh-CN"/>
              </w:rPr>
            </w:pPr>
            <w:r>
              <w:rPr>
                <w:rFonts w:hint="eastAsia"/>
                <w:sz w:val="18"/>
                <w:szCs w:val="18"/>
              </w:rPr>
              <w:t>0.0</w:t>
            </w:r>
            <w:r>
              <w:rPr>
                <w:rFonts w:hint="eastAsia"/>
                <w:sz w:val="18"/>
                <w:szCs w:val="18"/>
                <w:lang w:eastAsia="zh-CN"/>
              </w:rPr>
              <w:t>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rFonts w:eastAsia="宋体"/>
                <w:sz w:val="18"/>
                <w:szCs w:val="18"/>
                <w:lang w:eastAsia="zh-CN"/>
              </w:rPr>
            </w:pPr>
            <w:r>
              <w:rPr>
                <w:rFonts w:hint="eastAsia"/>
                <w:sz w:val="18"/>
                <w:szCs w:val="18"/>
              </w:rPr>
              <w:t>0.0</w:t>
            </w:r>
            <w:r>
              <w:rPr>
                <w:rFonts w:hint="eastAsia"/>
                <w:sz w:val="18"/>
                <w:szCs w:val="18"/>
                <w:lang w:eastAsia="zh-CN"/>
              </w:rPr>
              <w:t>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rFonts w:eastAsia="宋体"/>
                <w:sz w:val="18"/>
                <w:szCs w:val="18"/>
                <w:lang w:eastAsia="zh-CN"/>
              </w:rPr>
            </w:pPr>
            <w:r>
              <w:rPr>
                <w:rFonts w:hint="eastAsia"/>
                <w:sz w:val="18"/>
                <w:szCs w:val="18"/>
              </w:rPr>
              <w:t>0.</w:t>
            </w:r>
            <w:r>
              <w:rPr>
                <w:rFonts w:hint="eastAsia"/>
                <w:sz w:val="18"/>
                <w:szCs w:val="18"/>
                <w:lang w:eastAsia="zh-CN"/>
              </w:rPr>
              <w:t>072</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0.086</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0.068</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rPr>
              <w:t>0.0</w:t>
            </w:r>
            <w:r>
              <w:rPr>
                <w:rFonts w:hint="eastAsia"/>
                <w:sz w:val="18"/>
                <w:szCs w:val="18"/>
                <w:lang w:eastAsia="zh-CN"/>
              </w:rPr>
              <w:t>25</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lang w:eastAsia="zh-CN"/>
              </w:rPr>
              <w:t>0.029</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 0.025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pPr>
              <w:jc w:val="center"/>
              <w:rPr>
                <w:rFonts w:eastAsia="等线"/>
                <w:sz w:val="18"/>
                <w:szCs w:val="18"/>
                <w:lang w:eastAsia="zh-CN"/>
              </w:rPr>
            </w:pPr>
            <w:r>
              <w:rPr>
                <w:rFonts w:hint="eastAsia" w:eastAsia="等线"/>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rFonts w:eastAsia="等线"/>
                <w:sz w:val="18"/>
                <w:szCs w:val="18"/>
              </w:rPr>
            </w:pPr>
            <w:r>
              <w:rPr>
                <w:rFonts w:eastAsia="等线"/>
                <w:sz w:val="18"/>
                <w:szCs w:val="18"/>
              </w:rPr>
              <w:t>BO</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23.295</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28.051</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19.992  </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51.748  </w:t>
            </w:r>
          </w:p>
        </w:tc>
      </w:tr>
    </w:tbl>
    <w:p>
      <w:pPr>
        <w:spacing w:after="0"/>
        <w:jc w:val="both"/>
        <w:rPr>
          <w:sz w:val="24"/>
          <w:szCs w:val="24"/>
          <w:lang w:eastAsia="zh-CN"/>
        </w:rPr>
      </w:pPr>
    </w:p>
    <w:p>
      <w:pPr>
        <w:jc w:val="center"/>
        <w:rPr>
          <w:sz w:val="24"/>
          <w:szCs w:val="24"/>
          <w:lang w:eastAsia="zh-CN"/>
        </w:rPr>
      </w:pPr>
      <w:r>
        <w:rPr>
          <w:rFonts w:hint="eastAsia"/>
          <w:lang w:eastAsia="zh-CN"/>
        </w:rPr>
        <w:t>Table A3-</w:t>
      </w:r>
      <w:r>
        <w:rPr>
          <w:rFonts w:hint="eastAsia"/>
          <w:lang w:val="en-US" w:eastAsia="zh-CN"/>
        </w:rPr>
        <w:t>4</w:t>
      </w:r>
      <w:r>
        <w:rPr>
          <w:rFonts w:hint="eastAsia"/>
          <w:lang w:eastAsia="zh-CN"/>
        </w:rPr>
        <w:t xml:space="preserve">  performance of misaligned case with medium traffic load</w:t>
      </w:r>
    </w:p>
    <w:tbl>
      <w:tblPr>
        <w:tblStyle w:val="61"/>
        <w:tblW w:w="8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002"/>
        <w:gridCol w:w="1728"/>
        <w:gridCol w:w="1728"/>
        <w:gridCol w:w="172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spacing w:line="720" w:lineRule="auto"/>
              <w:jc w:val="center"/>
              <w:rPr>
                <w:rFonts w:eastAsia="宋体"/>
                <w:sz w:val="18"/>
                <w:szCs w:val="18"/>
                <w:lang w:eastAsia="zh-CN"/>
              </w:rPr>
            </w:pPr>
            <w:r>
              <w:rPr>
                <w:rFonts w:hint="eastAsia" w:eastAsia="宋体"/>
                <w:sz w:val="18"/>
                <w:szCs w:val="18"/>
                <w:lang w:eastAsia="zh-CN"/>
              </w:rPr>
              <w:t>Simulator Case</w:t>
            </w:r>
          </w:p>
        </w:tc>
        <w:tc>
          <w:tcPr>
            <w:tcW w:w="3456" w:type="dxa"/>
            <w:gridSpan w:val="2"/>
            <w:shd w:val="clear" w:color="auto" w:fill="auto"/>
          </w:tcPr>
          <w:p>
            <w:pPr>
              <w:spacing w:line="720" w:lineRule="auto"/>
              <w:jc w:val="center"/>
              <w:rPr>
                <w:rFonts w:eastAsia="宋体"/>
                <w:sz w:val="18"/>
                <w:szCs w:val="18"/>
                <w:lang w:eastAsia="zh-CN"/>
              </w:rPr>
            </w:pPr>
            <w:r>
              <w:rPr>
                <w:rFonts w:hint="eastAsia"/>
                <w:sz w:val="18"/>
                <w:szCs w:val="18"/>
                <w:lang w:eastAsia="zh-CN"/>
              </w:rPr>
              <w:t>2G &amp; 2G</w:t>
            </w:r>
          </w:p>
        </w:tc>
        <w:tc>
          <w:tcPr>
            <w:tcW w:w="3456" w:type="dxa"/>
            <w:gridSpan w:val="2"/>
            <w:shd w:val="clear" w:color="auto" w:fill="auto"/>
          </w:tcPr>
          <w:p>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 &amp; 3*800M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tcBorders>
              <w:tl2br w:val="single" w:color="auto" w:sz="4" w:space="0"/>
            </w:tcBorders>
            <w:shd w:val="clear" w:color="auto" w:fill="auto"/>
          </w:tcPr>
          <w:p>
            <w:pPr>
              <w:ind w:firstLine="900" w:firstLineChars="500"/>
              <w:rPr>
                <w:rFonts w:eastAsia="宋体"/>
                <w:sz w:val="18"/>
                <w:szCs w:val="18"/>
                <w:lang w:eastAsia="zh-CN"/>
              </w:rPr>
            </w:pPr>
            <w:r>
              <w:rPr>
                <w:rFonts w:hint="eastAsia"/>
                <w:sz w:val="18"/>
                <w:szCs w:val="18"/>
                <w:lang w:eastAsia="zh-CN"/>
              </w:rPr>
              <w:t>Operator</w:t>
            </w:r>
          </w:p>
          <w:p>
            <w:pPr>
              <w:rPr>
                <w:sz w:val="18"/>
                <w:szCs w:val="18"/>
              </w:rPr>
            </w:pPr>
            <w:r>
              <w:rPr>
                <w:sz w:val="18"/>
                <w:szCs w:val="18"/>
              </w:rPr>
              <w:t xml:space="preserve">Metrics              </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pPr>
              <w:jc w:val="center"/>
              <w:rPr>
                <w:sz w:val="18"/>
                <w:szCs w:val="18"/>
              </w:rPr>
            </w:pPr>
            <w:r>
              <w:rPr>
                <w:rFonts w:hint="eastAsia"/>
                <w:sz w:val="18"/>
                <w:szCs w:val="18"/>
                <w:lang w:eastAsia="zh-CN"/>
              </w:rPr>
              <w:t>Operator A</w:t>
            </w:r>
          </w:p>
        </w:tc>
        <w:tc>
          <w:tcPr>
            <w:tcW w:w="1728" w:type="dxa"/>
            <w:shd w:val="clear" w:color="auto" w:fill="auto"/>
          </w:tcPr>
          <w:p>
            <w:pPr>
              <w:jc w:val="center"/>
              <w:rPr>
                <w:sz w:val="18"/>
                <w:szCs w:val="18"/>
              </w:rPr>
            </w:pPr>
            <w:r>
              <w:rPr>
                <w:rFonts w:hint="eastAsia"/>
                <w:sz w:val="18"/>
                <w:szCs w:val="18"/>
                <w:lang w:eastAsia="zh-CN"/>
              </w:rPr>
              <w:t>Operator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UPT (Mbps)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659.2416  </w:t>
            </w:r>
          </w:p>
        </w:tc>
        <w:tc>
          <w:tcPr>
            <w:tcW w:w="1728" w:type="dxa"/>
            <w:shd w:val="clear" w:color="auto" w:fill="auto"/>
            <w:vAlign w:val="center"/>
          </w:tcPr>
          <w:p>
            <w:pPr>
              <w:jc w:val="center"/>
              <w:rPr>
                <w:rFonts w:eastAsia="宋体"/>
                <w:sz w:val="18"/>
                <w:szCs w:val="18"/>
                <w:lang w:eastAsia="zh-CN"/>
              </w:rPr>
            </w:pPr>
            <w:r>
              <w:rPr>
                <w:rFonts w:hint="eastAsia"/>
                <w:sz w:val="18"/>
                <w:szCs w:val="18"/>
              </w:rPr>
              <w:t xml:space="preserve">493.5231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1856.9265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512.9541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sz w:val="18"/>
                <w:szCs w:val="18"/>
              </w:rPr>
            </w:pPr>
            <w:r>
              <w:rPr>
                <w:rFonts w:hint="eastAsia"/>
                <w:sz w:val="18"/>
                <w:szCs w:val="18"/>
              </w:rPr>
              <w:t xml:space="preserve">8828.8125  </w:t>
            </w:r>
          </w:p>
        </w:tc>
        <w:tc>
          <w:tcPr>
            <w:tcW w:w="1728" w:type="dxa"/>
            <w:shd w:val="clear" w:color="auto" w:fill="auto"/>
            <w:vAlign w:val="center"/>
          </w:tcPr>
          <w:p>
            <w:pPr>
              <w:jc w:val="center"/>
              <w:rPr>
                <w:sz w:val="18"/>
                <w:szCs w:val="18"/>
              </w:rPr>
            </w:pPr>
            <w:r>
              <w:rPr>
                <w:rFonts w:hint="eastAsia"/>
                <w:sz w:val="18"/>
                <w:szCs w:val="18"/>
              </w:rPr>
              <w:t xml:space="preserve">9626.2949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11077.0381</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4861.8345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sz w:val="18"/>
                <w:szCs w:val="18"/>
              </w:rPr>
            </w:pPr>
            <w:r>
              <w:rPr>
                <w:rFonts w:hint="eastAsia"/>
                <w:sz w:val="18"/>
                <w:szCs w:val="18"/>
              </w:rPr>
              <w:t xml:space="preserve">19264.3535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18512.9844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19340.3203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8215.4150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rFonts w:eastAsia="宋体"/>
                <w:sz w:val="18"/>
                <w:szCs w:val="18"/>
                <w:lang w:eastAsia="zh-CN"/>
              </w:rPr>
            </w:pPr>
            <w:r>
              <w:rPr>
                <w:rFonts w:hint="eastAsia"/>
                <w:sz w:val="18"/>
                <w:szCs w:val="18"/>
              </w:rPr>
              <w:t>10142.6377</w:t>
            </w:r>
          </w:p>
        </w:tc>
        <w:tc>
          <w:tcPr>
            <w:tcW w:w="1728" w:type="dxa"/>
            <w:shd w:val="clear" w:color="auto" w:fill="auto"/>
            <w:vAlign w:val="center"/>
          </w:tcPr>
          <w:p>
            <w:pPr>
              <w:jc w:val="center"/>
              <w:rPr>
                <w:sz w:val="18"/>
                <w:szCs w:val="18"/>
              </w:rPr>
            </w:pPr>
            <w:r>
              <w:rPr>
                <w:rFonts w:hint="eastAsia"/>
                <w:sz w:val="18"/>
                <w:szCs w:val="18"/>
              </w:rPr>
              <w:t xml:space="preserve">10208.5811 </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11114.6162</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4867.4146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restart"/>
            <w:shd w:val="clear" w:color="auto" w:fill="auto"/>
          </w:tcPr>
          <w:p>
            <w:pPr>
              <w:rPr>
                <w:sz w:val="18"/>
                <w:szCs w:val="18"/>
              </w:rPr>
            </w:pPr>
            <w:r>
              <w:rPr>
                <w:sz w:val="18"/>
                <w:szCs w:val="18"/>
              </w:rPr>
              <w:t>DL delay (s)</w:t>
            </w:r>
          </w:p>
        </w:tc>
        <w:tc>
          <w:tcPr>
            <w:tcW w:w="1002" w:type="dxa"/>
            <w:shd w:val="clear" w:color="auto" w:fill="auto"/>
          </w:tcPr>
          <w:p>
            <w:pPr>
              <w:rPr>
                <w:sz w:val="18"/>
                <w:szCs w:val="18"/>
              </w:rPr>
            </w:pPr>
            <w:r>
              <w:rPr>
                <w:sz w:val="18"/>
                <w:szCs w:val="18"/>
              </w:rPr>
              <w:t>5%ile</w:t>
            </w:r>
          </w:p>
        </w:tc>
        <w:tc>
          <w:tcPr>
            <w:tcW w:w="1728" w:type="dxa"/>
            <w:shd w:val="clear" w:color="auto" w:fill="auto"/>
            <w:vAlign w:val="center"/>
          </w:tcPr>
          <w:p>
            <w:pPr>
              <w:jc w:val="center"/>
              <w:rPr>
                <w:sz w:val="18"/>
                <w:szCs w:val="18"/>
              </w:rPr>
            </w:pPr>
            <w:r>
              <w:rPr>
                <w:rFonts w:hint="eastAsia"/>
                <w:sz w:val="18"/>
                <w:szCs w:val="18"/>
              </w:rPr>
              <w:t xml:space="preserve">0.010 </w:t>
            </w:r>
          </w:p>
        </w:tc>
        <w:tc>
          <w:tcPr>
            <w:tcW w:w="1728" w:type="dxa"/>
            <w:shd w:val="clear" w:color="auto" w:fill="auto"/>
            <w:vAlign w:val="center"/>
          </w:tcPr>
          <w:p>
            <w:pPr>
              <w:jc w:val="center"/>
              <w:rPr>
                <w:rFonts w:eastAsia="宋体"/>
                <w:sz w:val="18"/>
                <w:szCs w:val="18"/>
                <w:lang w:eastAsia="zh-CN"/>
              </w:rPr>
            </w:pPr>
            <w:r>
              <w:rPr>
                <w:rFonts w:hint="eastAsia"/>
                <w:sz w:val="18"/>
                <w:szCs w:val="18"/>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 xml:space="preserve">0.023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50%ile</w:t>
            </w:r>
          </w:p>
        </w:tc>
        <w:tc>
          <w:tcPr>
            <w:tcW w:w="1728" w:type="dxa"/>
            <w:shd w:val="clear" w:color="auto" w:fill="auto"/>
            <w:vAlign w:val="center"/>
          </w:tcPr>
          <w:p>
            <w:pPr>
              <w:jc w:val="center"/>
              <w:rPr>
                <w:rFonts w:eastAsia="宋体"/>
                <w:sz w:val="18"/>
                <w:szCs w:val="18"/>
                <w:lang w:eastAsia="zh-CN"/>
              </w:rPr>
            </w:pPr>
            <w:r>
              <w:rPr>
                <w:rFonts w:hint="eastAsia"/>
                <w:sz w:val="18"/>
                <w:szCs w:val="18"/>
              </w:rPr>
              <w:t>0.0</w:t>
            </w:r>
            <w:r>
              <w:rPr>
                <w:rFonts w:hint="eastAsia"/>
                <w:sz w:val="18"/>
                <w:szCs w:val="18"/>
                <w:lang w:eastAsia="zh-CN"/>
              </w:rPr>
              <w:t>23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95%ile</w:t>
            </w:r>
          </w:p>
        </w:tc>
        <w:tc>
          <w:tcPr>
            <w:tcW w:w="1728" w:type="dxa"/>
            <w:shd w:val="clear" w:color="auto" w:fill="auto"/>
            <w:vAlign w:val="center"/>
          </w:tcPr>
          <w:p>
            <w:pPr>
              <w:jc w:val="center"/>
              <w:rPr>
                <w:rFonts w:eastAsia="宋体"/>
                <w:sz w:val="18"/>
                <w:szCs w:val="18"/>
                <w:lang w:eastAsia="zh-CN"/>
              </w:rPr>
            </w:pPr>
            <w:r>
              <w:rPr>
                <w:rFonts w:hint="eastAsia"/>
                <w:sz w:val="18"/>
                <w:szCs w:val="18"/>
              </w:rPr>
              <w:t>0.</w:t>
            </w:r>
            <w:r>
              <w:rPr>
                <w:rFonts w:hint="eastAsia"/>
                <w:sz w:val="18"/>
                <w:szCs w:val="18"/>
                <w:lang w:eastAsia="zh-CN"/>
              </w:rPr>
              <w:t>400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0.386</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0.105</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025" w:type="dxa"/>
            <w:vMerge w:val="continue"/>
            <w:shd w:val="clear" w:color="auto" w:fill="auto"/>
          </w:tcPr>
          <w:p>
            <w:pPr>
              <w:rPr>
                <w:sz w:val="18"/>
                <w:szCs w:val="18"/>
              </w:rPr>
            </w:pPr>
          </w:p>
        </w:tc>
        <w:tc>
          <w:tcPr>
            <w:tcW w:w="1002" w:type="dxa"/>
            <w:shd w:val="clear" w:color="auto" w:fill="auto"/>
          </w:tcPr>
          <w:p>
            <w:pPr>
              <w:rPr>
                <w:sz w:val="18"/>
                <w:szCs w:val="18"/>
              </w:rPr>
            </w:pPr>
            <w:r>
              <w:rPr>
                <w:sz w:val="18"/>
                <w:szCs w:val="18"/>
              </w:rPr>
              <w:t>mean</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rPr>
              <w:t>0.</w:t>
            </w:r>
            <w:r>
              <w:rPr>
                <w:rFonts w:hint="eastAsia"/>
                <w:sz w:val="18"/>
                <w:szCs w:val="18"/>
                <w:lang w:eastAsia="zh-CN"/>
              </w:rPr>
              <w:t>145</w:t>
            </w:r>
          </w:p>
        </w:tc>
        <w:tc>
          <w:tcPr>
            <w:tcW w:w="1728" w:type="dxa"/>
            <w:shd w:val="clear" w:color="auto" w:fill="auto"/>
            <w:vAlign w:val="center"/>
          </w:tcPr>
          <w:p>
            <w:pPr>
              <w:jc w:val="center"/>
              <w:rPr>
                <w:rFonts w:eastAsia="宋体"/>
                <w:sz w:val="18"/>
                <w:szCs w:val="18"/>
                <w:highlight w:val="yellow"/>
                <w:lang w:eastAsia="zh-CN"/>
              </w:rPr>
            </w:pPr>
            <w:r>
              <w:rPr>
                <w:rFonts w:hint="eastAsia"/>
                <w:sz w:val="18"/>
                <w:szCs w:val="18"/>
                <w:lang w:eastAsia="zh-CN"/>
              </w:rPr>
              <w:t>0.110</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0.078</w:t>
            </w:r>
          </w:p>
        </w:tc>
        <w:tc>
          <w:tcPr>
            <w:tcW w:w="1728" w:type="dxa"/>
            <w:shd w:val="clear" w:color="auto" w:fill="auto"/>
            <w:vAlign w:val="center"/>
          </w:tcPr>
          <w:p>
            <w:pPr>
              <w:jc w:val="center"/>
              <w:rPr>
                <w:rFonts w:eastAsia="宋体"/>
                <w:sz w:val="18"/>
                <w:szCs w:val="18"/>
                <w:lang w:eastAsia="zh-CN"/>
              </w:rPr>
            </w:pPr>
            <w:r>
              <w:rPr>
                <w:rFonts w:hint="eastAsia"/>
                <w:sz w:val="18"/>
                <w:szCs w:val="18"/>
                <w:lang w:eastAsia="zh-CN"/>
              </w:rPr>
              <w:t>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pPr>
              <w:jc w:val="center"/>
              <w:rPr>
                <w:rFonts w:eastAsia="等线"/>
                <w:sz w:val="18"/>
                <w:szCs w:val="18"/>
                <w:lang w:eastAsia="zh-CN"/>
              </w:rPr>
            </w:pPr>
            <w:r>
              <w:rPr>
                <w:rFonts w:hint="eastAsia" w:eastAsia="等线"/>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2027" w:type="dxa"/>
            <w:gridSpan w:val="2"/>
            <w:shd w:val="clear" w:color="auto" w:fill="auto"/>
          </w:tcPr>
          <w:p>
            <w:pPr>
              <w:rPr>
                <w:rFonts w:eastAsia="等线"/>
                <w:sz w:val="18"/>
                <w:szCs w:val="18"/>
              </w:rPr>
            </w:pPr>
            <w:r>
              <w:rPr>
                <w:rFonts w:eastAsia="等线"/>
                <w:sz w:val="18"/>
                <w:szCs w:val="18"/>
              </w:rPr>
              <w:t>BO</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54.048</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 xml:space="preserve">55.161  </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44.776</w:t>
            </w:r>
          </w:p>
        </w:tc>
        <w:tc>
          <w:tcPr>
            <w:tcW w:w="1728" w:type="dxa"/>
            <w:shd w:val="clear" w:color="auto" w:fill="auto"/>
            <w:vAlign w:val="center"/>
          </w:tcPr>
          <w:p>
            <w:pPr>
              <w:jc w:val="center"/>
              <w:rPr>
                <w:rFonts w:eastAsia="等线"/>
                <w:sz w:val="18"/>
                <w:szCs w:val="18"/>
                <w:lang w:eastAsia="zh-CN"/>
              </w:rPr>
            </w:pPr>
            <w:r>
              <w:rPr>
                <w:rFonts w:hint="eastAsia" w:eastAsia="等线"/>
                <w:sz w:val="18"/>
                <w:szCs w:val="18"/>
                <w:lang w:eastAsia="zh-CN"/>
              </w:rPr>
              <w:t>81.097</w:t>
            </w:r>
          </w:p>
        </w:tc>
      </w:tr>
    </w:tbl>
    <w:p>
      <w:pPr>
        <w:spacing w:after="0"/>
        <w:jc w:val="both"/>
        <w:rPr>
          <w:sz w:val="24"/>
          <w:szCs w:val="24"/>
          <w:lang w:eastAsia="zh-CN"/>
        </w:rPr>
      </w:pPr>
    </w:p>
    <w:p>
      <w:pPr>
        <w:rPr>
          <w:lang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3EE28B"/>
    <w:multiLevelType w:val="singleLevel"/>
    <w:tmpl w:val="973EE28B"/>
    <w:lvl w:ilvl="0" w:tentative="0">
      <w:start w:val="1"/>
      <w:numFmt w:val="decimal"/>
      <w:suff w:val="space"/>
      <w:lvlText w:val="[%1]"/>
      <w:lvlJc w:val="left"/>
    </w:lvl>
  </w:abstractNum>
  <w:abstractNum w:abstractNumId="1">
    <w:nsid w:val="9C675F32"/>
    <w:multiLevelType w:val="singleLevel"/>
    <w:tmpl w:val="9C675F32"/>
    <w:lvl w:ilvl="0" w:tentative="0">
      <w:start w:val="1"/>
      <w:numFmt w:val="decimal"/>
      <w:suff w:val="space"/>
      <w:lvlText w:val="%1)"/>
      <w:lvlJc w:val="left"/>
    </w:lvl>
  </w:abstractNum>
  <w:abstractNum w:abstractNumId="2">
    <w:nsid w:val="B6209E80"/>
    <w:multiLevelType w:val="singleLevel"/>
    <w:tmpl w:val="B6209E80"/>
    <w:lvl w:ilvl="0" w:tentative="0">
      <w:start w:val="1"/>
      <w:numFmt w:val="lowerLetter"/>
      <w:suff w:val="space"/>
      <w:lvlText w:val="(%1)"/>
      <w:lvlJc w:val="left"/>
    </w:lvl>
  </w:abstractNum>
  <w:abstractNum w:abstractNumId="3">
    <w:nsid w:val="D0FE42D5"/>
    <w:multiLevelType w:val="singleLevel"/>
    <w:tmpl w:val="D0FE42D5"/>
    <w:lvl w:ilvl="0" w:tentative="0">
      <w:start w:val="1"/>
      <w:numFmt w:val="bullet"/>
      <w:lvlText w:val=""/>
      <w:lvlJc w:val="left"/>
      <w:pPr>
        <w:ind w:left="420" w:hanging="420"/>
      </w:pPr>
      <w:rPr>
        <w:rFonts w:hint="default" w:ascii="Wingdings" w:hAnsi="Wingdings"/>
      </w:rPr>
    </w:lvl>
  </w:abstractNum>
  <w:abstractNum w:abstractNumId="4">
    <w:nsid w:val="FFFFFF7E"/>
    <w:multiLevelType w:val="singleLevel"/>
    <w:tmpl w:val="FFFFFF7E"/>
    <w:lvl w:ilvl="0" w:tentative="0">
      <w:start w:val="1"/>
      <w:numFmt w:val="lowerRoman"/>
      <w:pStyle w:val="33"/>
      <w:lvlText w:val="%1."/>
      <w:lvlJc w:val="right"/>
      <w:pPr>
        <w:ind w:left="926" w:hanging="360"/>
      </w:pPr>
    </w:lvl>
  </w:abstractNum>
  <w:abstractNum w:abstractNumId="5">
    <w:nsid w:val="00D9A6DD"/>
    <w:multiLevelType w:val="singleLevel"/>
    <w:tmpl w:val="00D9A6DD"/>
    <w:lvl w:ilvl="0" w:tentative="0">
      <w:start w:val="1"/>
      <w:numFmt w:val="decimal"/>
      <w:suff w:val="space"/>
      <w:lvlText w:val="%1)"/>
      <w:lvlJc w:val="left"/>
    </w:lvl>
  </w:abstractNum>
  <w:abstractNum w:abstractNumId="6">
    <w:nsid w:val="0F847706"/>
    <w:multiLevelType w:val="multilevel"/>
    <w:tmpl w:val="0F847706"/>
    <w:lvl w:ilvl="0" w:tentative="0">
      <w:start w:val="1"/>
      <w:numFmt w:val="bullet"/>
      <w:pStyle w:val="26"/>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7">
    <w:nsid w:val="20396CDA"/>
    <w:multiLevelType w:val="multilevel"/>
    <w:tmpl w:val="20396CDA"/>
    <w:lvl w:ilvl="0" w:tentative="0">
      <w:start w:val="1"/>
      <w:numFmt w:val="bullet"/>
      <w:pStyle w:val="28"/>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275A7442"/>
    <w:multiLevelType w:val="multilevel"/>
    <w:tmpl w:val="275A7442"/>
    <w:lvl w:ilvl="0" w:tentative="0">
      <w:start w:val="1"/>
      <w:numFmt w:val="bullet"/>
      <w:pStyle w:val="27"/>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9">
    <w:nsid w:val="33EA44FF"/>
    <w:multiLevelType w:val="multilevel"/>
    <w:tmpl w:val="33EA44FF"/>
    <w:lvl w:ilvl="0" w:tentative="0">
      <w:start w:val="1"/>
      <w:numFmt w:val="decimal"/>
      <w:pStyle w:val="25"/>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3AA46647"/>
    <w:multiLevelType w:val="multilevel"/>
    <w:tmpl w:val="3AA46647"/>
    <w:lvl w:ilvl="0" w:tentative="0">
      <w:start w:val="1"/>
      <w:numFmt w:val="decimal"/>
      <w:pStyle w:val="90"/>
      <w:lvlText w:val="Proposal %1"/>
      <w:lvlJc w:val="left"/>
      <w:pPr>
        <w:tabs>
          <w:tab w:val="left" w:pos="1304"/>
        </w:tabs>
        <w:ind w:left="1304" w:hanging="1304"/>
      </w:pPr>
      <w:rPr>
        <w:rFonts w:hint="default"/>
        <w:b/>
        <w:bCs/>
      </w:rPr>
    </w:lvl>
    <w:lvl w:ilvl="1" w:tentative="0">
      <w:start w:val="1"/>
      <w:numFmt w:val="decimal"/>
      <w:lvlText w:val="%2"/>
      <w:lvlJc w:val="left"/>
      <w:pPr>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BDF65F6"/>
    <w:multiLevelType w:val="multilevel"/>
    <w:tmpl w:val="4BDF65F6"/>
    <w:lvl w:ilvl="0" w:tentative="0">
      <w:start w:val="1"/>
      <w:numFmt w:val="decimal"/>
      <w:pStyle w:val="8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F018814"/>
    <w:multiLevelType w:val="singleLevel"/>
    <w:tmpl w:val="4F018814"/>
    <w:lvl w:ilvl="0" w:tentative="0">
      <w:start w:val="1"/>
      <w:numFmt w:val="decimal"/>
      <w:suff w:val="space"/>
      <w:lvlText w:val="%1)"/>
      <w:lvlJc w:val="left"/>
    </w:lvl>
  </w:abstractNum>
  <w:abstractNum w:abstractNumId="13">
    <w:nsid w:val="5101505E"/>
    <w:multiLevelType w:val="multilevel"/>
    <w:tmpl w:val="5101505E"/>
    <w:lvl w:ilvl="0" w:tentative="0">
      <w:start w:val="1"/>
      <w:numFmt w:val="decimal"/>
      <w:pStyle w:val="11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1F44A7"/>
    <w:multiLevelType w:val="multilevel"/>
    <w:tmpl w:val="521F44A7"/>
    <w:lvl w:ilvl="0" w:tentative="0">
      <w:start w:val="1"/>
      <w:numFmt w:val="bullet"/>
      <w:pStyle w:val="13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BDE1D10"/>
    <w:multiLevelType w:val="multilevel"/>
    <w:tmpl w:val="5BDE1D10"/>
    <w:lvl w:ilvl="0" w:tentative="0">
      <w:start w:val="1"/>
      <w:numFmt w:val="bullet"/>
      <w:pStyle w:val="29"/>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7">
    <w:nsid w:val="5E8FDBB3"/>
    <w:multiLevelType w:val="multilevel"/>
    <w:tmpl w:val="5E8FDBB3"/>
    <w:lvl w:ilvl="0" w:tentative="0">
      <w:start w:val="1"/>
      <w:numFmt w:val="decimal"/>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18">
    <w:nsid w:val="6E4C234E"/>
    <w:multiLevelType w:val="multilevel"/>
    <w:tmpl w:val="6E4C234E"/>
    <w:lvl w:ilvl="0" w:tentative="0">
      <w:start w:val="1"/>
      <w:numFmt w:val="lowerLetter"/>
      <w:pStyle w:val="24"/>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9">
    <w:nsid w:val="74FF1CEA"/>
    <w:multiLevelType w:val="multilevel"/>
    <w:tmpl w:val="74FF1CEA"/>
    <w:lvl w:ilvl="0" w:tentative="0">
      <w:start w:val="1"/>
      <w:numFmt w:val="bullet"/>
      <w:pStyle w:val="37"/>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abstractNum w:abstractNumId="20">
    <w:nsid w:val="77730C5D"/>
    <w:multiLevelType w:val="singleLevel"/>
    <w:tmpl w:val="77730C5D"/>
    <w:lvl w:ilvl="0" w:tentative="0">
      <w:start w:val="1"/>
      <w:numFmt w:val="lowerLetter"/>
      <w:suff w:val="space"/>
      <w:lvlText w:val="(%1)"/>
      <w:lvlJc w:val="left"/>
    </w:lvl>
  </w:abstractNum>
  <w:num w:numId="1">
    <w:abstractNumId w:val="18"/>
  </w:num>
  <w:num w:numId="2">
    <w:abstractNumId w:val="9"/>
  </w:num>
  <w:num w:numId="3">
    <w:abstractNumId w:val="6"/>
  </w:num>
  <w:num w:numId="4">
    <w:abstractNumId w:val="8"/>
  </w:num>
  <w:num w:numId="5">
    <w:abstractNumId w:val="7"/>
  </w:num>
  <w:num w:numId="6">
    <w:abstractNumId w:val="16"/>
  </w:num>
  <w:num w:numId="7">
    <w:abstractNumId w:val="4"/>
  </w:num>
  <w:num w:numId="8">
    <w:abstractNumId w:val="19"/>
  </w:num>
  <w:num w:numId="9">
    <w:abstractNumId w:val="11"/>
  </w:num>
  <w:num w:numId="10">
    <w:abstractNumId w:val="10"/>
  </w:num>
  <w:num w:numId="11">
    <w:abstractNumId w:val="13"/>
  </w:num>
  <w:num w:numId="12">
    <w:abstractNumId w:val="14"/>
  </w:num>
  <w:num w:numId="13">
    <w:abstractNumId w:val="17"/>
  </w:num>
  <w:num w:numId="14">
    <w:abstractNumId w:val="15"/>
  </w:num>
  <w:num w:numId="15">
    <w:abstractNumId w:val="5"/>
  </w:num>
  <w:num w:numId="16">
    <w:abstractNumId w:val="20"/>
  </w:num>
  <w:num w:numId="17">
    <w:abstractNumId w:val="12"/>
  </w:num>
  <w:num w:numId="18">
    <w:abstractNumId w:val="1"/>
  </w:num>
  <w:num w:numId="19">
    <w:abstractNumId w:val="3"/>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val="1"/>
  <w:documentProtection w:enforcement="0"/>
  <w:defaultTabStop w:val="720"/>
  <w:hyphenationZone w:val="425"/>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71"/>
    <w:rsid w:val="0000021E"/>
    <w:rsid w:val="000003FD"/>
    <w:rsid w:val="0000080F"/>
    <w:rsid w:val="000009D5"/>
    <w:rsid w:val="00001030"/>
    <w:rsid w:val="00002B3C"/>
    <w:rsid w:val="0000301E"/>
    <w:rsid w:val="0000358D"/>
    <w:rsid w:val="00003695"/>
    <w:rsid w:val="000036D8"/>
    <w:rsid w:val="000037DF"/>
    <w:rsid w:val="00003821"/>
    <w:rsid w:val="00003FD9"/>
    <w:rsid w:val="00004C64"/>
    <w:rsid w:val="00005CAB"/>
    <w:rsid w:val="00005D10"/>
    <w:rsid w:val="00005E27"/>
    <w:rsid w:val="00006261"/>
    <w:rsid w:val="00006BF2"/>
    <w:rsid w:val="00007241"/>
    <w:rsid w:val="000072A6"/>
    <w:rsid w:val="000073DA"/>
    <w:rsid w:val="00007656"/>
    <w:rsid w:val="00007881"/>
    <w:rsid w:val="00007AB6"/>
    <w:rsid w:val="00007D49"/>
    <w:rsid w:val="000100B5"/>
    <w:rsid w:val="0001022C"/>
    <w:rsid w:val="00010C28"/>
    <w:rsid w:val="000114CC"/>
    <w:rsid w:val="00011EA6"/>
    <w:rsid w:val="00011F30"/>
    <w:rsid w:val="00012059"/>
    <w:rsid w:val="000120D5"/>
    <w:rsid w:val="000126C8"/>
    <w:rsid w:val="00012953"/>
    <w:rsid w:val="000129C1"/>
    <w:rsid w:val="00012BB6"/>
    <w:rsid w:val="000134B8"/>
    <w:rsid w:val="0001364D"/>
    <w:rsid w:val="000136B4"/>
    <w:rsid w:val="00013778"/>
    <w:rsid w:val="000138A9"/>
    <w:rsid w:val="00013A89"/>
    <w:rsid w:val="00013D1B"/>
    <w:rsid w:val="00013D7D"/>
    <w:rsid w:val="00013F9B"/>
    <w:rsid w:val="00013FE2"/>
    <w:rsid w:val="00014065"/>
    <w:rsid w:val="00014516"/>
    <w:rsid w:val="000152BA"/>
    <w:rsid w:val="0001625B"/>
    <w:rsid w:val="00016596"/>
    <w:rsid w:val="000168B6"/>
    <w:rsid w:val="00016BD9"/>
    <w:rsid w:val="00017019"/>
    <w:rsid w:val="00017022"/>
    <w:rsid w:val="00017B8B"/>
    <w:rsid w:val="000206AE"/>
    <w:rsid w:val="000206E0"/>
    <w:rsid w:val="0002114E"/>
    <w:rsid w:val="000212D0"/>
    <w:rsid w:val="000215DC"/>
    <w:rsid w:val="00021695"/>
    <w:rsid w:val="00021847"/>
    <w:rsid w:val="00021B75"/>
    <w:rsid w:val="0002205C"/>
    <w:rsid w:val="0002212C"/>
    <w:rsid w:val="0002258F"/>
    <w:rsid w:val="00022603"/>
    <w:rsid w:val="0002274E"/>
    <w:rsid w:val="00022D7F"/>
    <w:rsid w:val="00023296"/>
    <w:rsid w:val="00023508"/>
    <w:rsid w:val="00023A37"/>
    <w:rsid w:val="00023E7D"/>
    <w:rsid w:val="00023EEE"/>
    <w:rsid w:val="000241A3"/>
    <w:rsid w:val="000247BF"/>
    <w:rsid w:val="00024B72"/>
    <w:rsid w:val="00024CF6"/>
    <w:rsid w:val="000250D1"/>
    <w:rsid w:val="000254AD"/>
    <w:rsid w:val="000256F8"/>
    <w:rsid w:val="000258B9"/>
    <w:rsid w:val="00026AC8"/>
    <w:rsid w:val="00026AFC"/>
    <w:rsid w:val="00026CBD"/>
    <w:rsid w:val="00026DE2"/>
    <w:rsid w:val="00027554"/>
    <w:rsid w:val="00027A47"/>
    <w:rsid w:val="00027A55"/>
    <w:rsid w:val="00027C85"/>
    <w:rsid w:val="00030133"/>
    <w:rsid w:val="00031170"/>
    <w:rsid w:val="00031271"/>
    <w:rsid w:val="0003145C"/>
    <w:rsid w:val="0003182A"/>
    <w:rsid w:val="0003239F"/>
    <w:rsid w:val="00032638"/>
    <w:rsid w:val="00032732"/>
    <w:rsid w:val="00032EE5"/>
    <w:rsid w:val="000331C0"/>
    <w:rsid w:val="000338A9"/>
    <w:rsid w:val="000338B7"/>
    <w:rsid w:val="00033D49"/>
    <w:rsid w:val="000343A3"/>
    <w:rsid w:val="000343C5"/>
    <w:rsid w:val="000347C2"/>
    <w:rsid w:val="000352C0"/>
    <w:rsid w:val="00035313"/>
    <w:rsid w:val="00035354"/>
    <w:rsid w:val="000353DD"/>
    <w:rsid w:val="000353F4"/>
    <w:rsid w:val="0003542C"/>
    <w:rsid w:val="000355E1"/>
    <w:rsid w:val="000357EF"/>
    <w:rsid w:val="00035B82"/>
    <w:rsid w:val="00035E3E"/>
    <w:rsid w:val="00035FD1"/>
    <w:rsid w:val="00036070"/>
    <w:rsid w:val="00036098"/>
    <w:rsid w:val="0003620E"/>
    <w:rsid w:val="00036541"/>
    <w:rsid w:val="000368B0"/>
    <w:rsid w:val="00036974"/>
    <w:rsid w:val="00036A5E"/>
    <w:rsid w:val="00036E9F"/>
    <w:rsid w:val="00037093"/>
    <w:rsid w:val="0003711D"/>
    <w:rsid w:val="00037167"/>
    <w:rsid w:val="00037680"/>
    <w:rsid w:val="0003788E"/>
    <w:rsid w:val="00037981"/>
    <w:rsid w:val="00037F73"/>
    <w:rsid w:val="0004024C"/>
    <w:rsid w:val="000407E8"/>
    <w:rsid w:val="00040CF6"/>
    <w:rsid w:val="000411DE"/>
    <w:rsid w:val="000415D8"/>
    <w:rsid w:val="00041858"/>
    <w:rsid w:val="00041DE7"/>
    <w:rsid w:val="00041E49"/>
    <w:rsid w:val="00042285"/>
    <w:rsid w:val="000425E1"/>
    <w:rsid w:val="00042B51"/>
    <w:rsid w:val="00042C6F"/>
    <w:rsid w:val="00043321"/>
    <w:rsid w:val="000437A2"/>
    <w:rsid w:val="000437BA"/>
    <w:rsid w:val="00044521"/>
    <w:rsid w:val="0004465D"/>
    <w:rsid w:val="00044699"/>
    <w:rsid w:val="00044E9D"/>
    <w:rsid w:val="00044F01"/>
    <w:rsid w:val="000455F9"/>
    <w:rsid w:val="00045D1C"/>
    <w:rsid w:val="000462A6"/>
    <w:rsid w:val="00046D77"/>
    <w:rsid w:val="00046DFB"/>
    <w:rsid w:val="00047F56"/>
    <w:rsid w:val="000508C5"/>
    <w:rsid w:val="00050FBE"/>
    <w:rsid w:val="00051164"/>
    <w:rsid w:val="000513CD"/>
    <w:rsid w:val="0005168C"/>
    <w:rsid w:val="000516D0"/>
    <w:rsid w:val="00051721"/>
    <w:rsid w:val="00051771"/>
    <w:rsid w:val="000519E3"/>
    <w:rsid w:val="00051C27"/>
    <w:rsid w:val="00051F50"/>
    <w:rsid w:val="000521F3"/>
    <w:rsid w:val="00052327"/>
    <w:rsid w:val="00052743"/>
    <w:rsid w:val="0005295A"/>
    <w:rsid w:val="0005328E"/>
    <w:rsid w:val="000534A8"/>
    <w:rsid w:val="000534C9"/>
    <w:rsid w:val="00053502"/>
    <w:rsid w:val="0005399C"/>
    <w:rsid w:val="00053EAA"/>
    <w:rsid w:val="00054241"/>
    <w:rsid w:val="0005431E"/>
    <w:rsid w:val="00054DB7"/>
    <w:rsid w:val="00055328"/>
    <w:rsid w:val="00055A9D"/>
    <w:rsid w:val="00055CA6"/>
    <w:rsid w:val="00055F8A"/>
    <w:rsid w:val="00056033"/>
    <w:rsid w:val="000565AA"/>
    <w:rsid w:val="00057002"/>
    <w:rsid w:val="000570BF"/>
    <w:rsid w:val="000575F9"/>
    <w:rsid w:val="00057ABF"/>
    <w:rsid w:val="00061433"/>
    <w:rsid w:val="000614A9"/>
    <w:rsid w:val="000619AB"/>
    <w:rsid w:val="0006241C"/>
    <w:rsid w:val="000624A4"/>
    <w:rsid w:val="000624B1"/>
    <w:rsid w:val="000624CA"/>
    <w:rsid w:val="00062625"/>
    <w:rsid w:val="00062C20"/>
    <w:rsid w:val="00062EBC"/>
    <w:rsid w:val="00063058"/>
    <w:rsid w:val="0006448C"/>
    <w:rsid w:val="00064621"/>
    <w:rsid w:val="00064B79"/>
    <w:rsid w:val="00065779"/>
    <w:rsid w:val="00065DA0"/>
    <w:rsid w:val="00066554"/>
    <w:rsid w:val="000666C5"/>
    <w:rsid w:val="00066957"/>
    <w:rsid w:val="00067830"/>
    <w:rsid w:val="00067903"/>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3051"/>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80139"/>
    <w:rsid w:val="00080547"/>
    <w:rsid w:val="000805E9"/>
    <w:rsid w:val="0008070E"/>
    <w:rsid w:val="00080F33"/>
    <w:rsid w:val="00081080"/>
    <w:rsid w:val="00081097"/>
    <w:rsid w:val="000810D0"/>
    <w:rsid w:val="0008112C"/>
    <w:rsid w:val="000816D1"/>
    <w:rsid w:val="00081C85"/>
    <w:rsid w:val="00081E68"/>
    <w:rsid w:val="00082124"/>
    <w:rsid w:val="00082207"/>
    <w:rsid w:val="000829F3"/>
    <w:rsid w:val="00082BCA"/>
    <w:rsid w:val="00082BD4"/>
    <w:rsid w:val="00082D57"/>
    <w:rsid w:val="00083684"/>
    <w:rsid w:val="000836D2"/>
    <w:rsid w:val="00083CD3"/>
    <w:rsid w:val="00084587"/>
    <w:rsid w:val="00084613"/>
    <w:rsid w:val="00084D39"/>
    <w:rsid w:val="00084E7D"/>
    <w:rsid w:val="0008555E"/>
    <w:rsid w:val="000862C5"/>
    <w:rsid w:val="000865BE"/>
    <w:rsid w:val="0008665B"/>
    <w:rsid w:val="000866F4"/>
    <w:rsid w:val="00086C21"/>
    <w:rsid w:val="00086DC6"/>
    <w:rsid w:val="00086F66"/>
    <w:rsid w:val="000874F0"/>
    <w:rsid w:val="00087609"/>
    <w:rsid w:val="0008785C"/>
    <w:rsid w:val="0008791B"/>
    <w:rsid w:val="00087BE7"/>
    <w:rsid w:val="00090064"/>
    <w:rsid w:val="0009072A"/>
    <w:rsid w:val="00090883"/>
    <w:rsid w:val="000909B8"/>
    <w:rsid w:val="0009114F"/>
    <w:rsid w:val="000913A6"/>
    <w:rsid w:val="00091405"/>
    <w:rsid w:val="00091C59"/>
    <w:rsid w:val="00091E7B"/>
    <w:rsid w:val="00092C92"/>
    <w:rsid w:val="0009308D"/>
    <w:rsid w:val="000932E6"/>
    <w:rsid w:val="0009391F"/>
    <w:rsid w:val="00093959"/>
    <w:rsid w:val="00093C77"/>
    <w:rsid w:val="00095377"/>
    <w:rsid w:val="0009541B"/>
    <w:rsid w:val="00095634"/>
    <w:rsid w:val="00095ABE"/>
    <w:rsid w:val="000964CF"/>
    <w:rsid w:val="00096C95"/>
    <w:rsid w:val="0009717D"/>
    <w:rsid w:val="000A0502"/>
    <w:rsid w:val="000A0543"/>
    <w:rsid w:val="000A0562"/>
    <w:rsid w:val="000A097E"/>
    <w:rsid w:val="000A0A76"/>
    <w:rsid w:val="000A0B80"/>
    <w:rsid w:val="000A0C42"/>
    <w:rsid w:val="000A0F2C"/>
    <w:rsid w:val="000A1575"/>
    <w:rsid w:val="000A1AC3"/>
    <w:rsid w:val="000A1CC3"/>
    <w:rsid w:val="000A1FE1"/>
    <w:rsid w:val="000A33B7"/>
    <w:rsid w:val="000A3485"/>
    <w:rsid w:val="000A38D9"/>
    <w:rsid w:val="000A3B19"/>
    <w:rsid w:val="000A3EEE"/>
    <w:rsid w:val="000A3F57"/>
    <w:rsid w:val="000A42C6"/>
    <w:rsid w:val="000A4663"/>
    <w:rsid w:val="000A50C5"/>
    <w:rsid w:val="000A5249"/>
    <w:rsid w:val="000A557E"/>
    <w:rsid w:val="000A56FD"/>
    <w:rsid w:val="000A5728"/>
    <w:rsid w:val="000A57C3"/>
    <w:rsid w:val="000A5E4A"/>
    <w:rsid w:val="000A6C7E"/>
    <w:rsid w:val="000A73CF"/>
    <w:rsid w:val="000A755B"/>
    <w:rsid w:val="000A7AA5"/>
    <w:rsid w:val="000A7BAE"/>
    <w:rsid w:val="000B0BDF"/>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957"/>
    <w:rsid w:val="000B3CA5"/>
    <w:rsid w:val="000B49B4"/>
    <w:rsid w:val="000B4E3B"/>
    <w:rsid w:val="000B5198"/>
    <w:rsid w:val="000B5D72"/>
    <w:rsid w:val="000B62D9"/>
    <w:rsid w:val="000B671E"/>
    <w:rsid w:val="000B6730"/>
    <w:rsid w:val="000B6862"/>
    <w:rsid w:val="000B687C"/>
    <w:rsid w:val="000B699B"/>
    <w:rsid w:val="000B6B82"/>
    <w:rsid w:val="000B718F"/>
    <w:rsid w:val="000B7E33"/>
    <w:rsid w:val="000B7F4F"/>
    <w:rsid w:val="000B7F94"/>
    <w:rsid w:val="000C036B"/>
    <w:rsid w:val="000C1265"/>
    <w:rsid w:val="000C148C"/>
    <w:rsid w:val="000C1594"/>
    <w:rsid w:val="000C1618"/>
    <w:rsid w:val="000C1D0E"/>
    <w:rsid w:val="000C2289"/>
    <w:rsid w:val="000C25E7"/>
    <w:rsid w:val="000C2742"/>
    <w:rsid w:val="000C28F1"/>
    <w:rsid w:val="000C3310"/>
    <w:rsid w:val="000C35C0"/>
    <w:rsid w:val="000C4069"/>
    <w:rsid w:val="000C406F"/>
    <w:rsid w:val="000C573B"/>
    <w:rsid w:val="000C6984"/>
    <w:rsid w:val="000C72D4"/>
    <w:rsid w:val="000C74E8"/>
    <w:rsid w:val="000C7D73"/>
    <w:rsid w:val="000C7DF9"/>
    <w:rsid w:val="000C7E78"/>
    <w:rsid w:val="000D009A"/>
    <w:rsid w:val="000D0498"/>
    <w:rsid w:val="000D07EF"/>
    <w:rsid w:val="000D0A94"/>
    <w:rsid w:val="000D0C63"/>
    <w:rsid w:val="000D0FF8"/>
    <w:rsid w:val="000D1235"/>
    <w:rsid w:val="000D1427"/>
    <w:rsid w:val="000D14A2"/>
    <w:rsid w:val="000D1915"/>
    <w:rsid w:val="000D2189"/>
    <w:rsid w:val="000D265E"/>
    <w:rsid w:val="000D28D9"/>
    <w:rsid w:val="000D2946"/>
    <w:rsid w:val="000D2BB0"/>
    <w:rsid w:val="000D2CA5"/>
    <w:rsid w:val="000D318F"/>
    <w:rsid w:val="000D31CA"/>
    <w:rsid w:val="000D3427"/>
    <w:rsid w:val="000D34C3"/>
    <w:rsid w:val="000D3FA3"/>
    <w:rsid w:val="000D41D7"/>
    <w:rsid w:val="000D4489"/>
    <w:rsid w:val="000D49B3"/>
    <w:rsid w:val="000D4A54"/>
    <w:rsid w:val="000D4B71"/>
    <w:rsid w:val="000D5003"/>
    <w:rsid w:val="000D5DDB"/>
    <w:rsid w:val="000D5ED8"/>
    <w:rsid w:val="000D6094"/>
    <w:rsid w:val="000D6D72"/>
    <w:rsid w:val="000D6FD4"/>
    <w:rsid w:val="000D7028"/>
    <w:rsid w:val="000D70B5"/>
    <w:rsid w:val="000D7599"/>
    <w:rsid w:val="000E01A7"/>
    <w:rsid w:val="000E0845"/>
    <w:rsid w:val="000E0C13"/>
    <w:rsid w:val="000E0D12"/>
    <w:rsid w:val="000E0DA6"/>
    <w:rsid w:val="000E0DEE"/>
    <w:rsid w:val="000E1AB6"/>
    <w:rsid w:val="000E1AE3"/>
    <w:rsid w:val="000E1BB3"/>
    <w:rsid w:val="000E1C27"/>
    <w:rsid w:val="000E1D13"/>
    <w:rsid w:val="000E1EB2"/>
    <w:rsid w:val="000E1FED"/>
    <w:rsid w:val="000E26BC"/>
    <w:rsid w:val="000E3148"/>
    <w:rsid w:val="000E3727"/>
    <w:rsid w:val="000E38BB"/>
    <w:rsid w:val="000E3AEE"/>
    <w:rsid w:val="000E3B54"/>
    <w:rsid w:val="000E44F8"/>
    <w:rsid w:val="000E46DC"/>
    <w:rsid w:val="000E4805"/>
    <w:rsid w:val="000E48E2"/>
    <w:rsid w:val="000E5473"/>
    <w:rsid w:val="000E5503"/>
    <w:rsid w:val="000E56FB"/>
    <w:rsid w:val="000E585F"/>
    <w:rsid w:val="000E5A57"/>
    <w:rsid w:val="000E5DB8"/>
    <w:rsid w:val="000E5E82"/>
    <w:rsid w:val="000E5F4E"/>
    <w:rsid w:val="000E6332"/>
    <w:rsid w:val="000E6569"/>
    <w:rsid w:val="000E7153"/>
    <w:rsid w:val="000E71F2"/>
    <w:rsid w:val="000E72CC"/>
    <w:rsid w:val="000E73B0"/>
    <w:rsid w:val="000E7662"/>
    <w:rsid w:val="000E7B2D"/>
    <w:rsid w:val="000E7F1B"/>
    <w:rsid w:val="000F0033"/>
    <w:rsid w:val="000F0678"/>
    <w:rsid w:val="000F086A"/>
    <w:rsid w:val="000F121C"/>
    <w:rsid w:val="000F1B24"/>
    <w:rsid w:val="000F1C83"/>
    <w:rsid w:val="000F2008"/>
    <w:rsid w:val="000F22AB"/>
    <w:rsid w:val="000F3E79"/>
    <w:rsid w:val="000F52A3"/>
    <w:rsid w:val="000F550A"/>
    <w:rsid w:val="000F57D7"/>
    <w:rsid w:val="000F5927"/>
    <w:rsid w:val="000F59BB"/>
    <w:rsid w:val="000F68AB"/>
    <w:rsid w:val="000F6A28"/>
    <w:rsid w:val="000F6AA4"/>
    <w:rsid w:val="000F6B08"/>
    <w:rsid w:val="000F6DFE"/>
    <w:rsid w:val="000F6FE4"/>
    <w:rsid w:val="000F71FE"/>
    <w:rsid w:val="000F7212"/>
    <w:rsid w:val="000F770B"/>
    <w:rsid w:val="000F78F2"/>
    <w:rsid w:val="000F7C06"/>
    <w:rsid w:val="00100096"/>
    <w:rsid w:val="001000EF"/>
    <w:rsid w:val="00100248"/>
    <w:rsid w:val="00100B51"/>
    <w:rsid w:val="00101C29"/>
    <w:rsid w:val="00102A4D"/>
    <w:rsid w:val="00102B39"/>
    <w:rsid w:val="0010322B"/>
    <w:rsid w:val="00103246"/>
    <w:rsid w:val="001038FF"/>
    <w:rsid w:val="001042A7"/>
    <w:rsid w:val="001044F3"/>
    <w:rsid w:val="001047C6"/>
    <w:rsid w:val="00104A38"/>
    <w:rsid w:val="00105345"/>
    <w:rsid w:val="0010558C"/>
    <w:rsid w:val="0010570C"/>
    <w:rsid w:val="00105F05"/>
    <w:rsid w:val="00105FD6"/>
    <w:rsid w:val="001061FA"/>
    <w:rsid w:val="00106D94"/>
    <w:rsid w:val="00106F68"/>
    <w:rsid w:val="0010722E"/>
    <w:rsid w:val="00107608"/>
    <w:rsid w:val="00107D8F"/>
    <w:rsid w:val="001112BE"/>
    <w:rsid w:val="00111675"/>
    <w:rsid w:val="00111A8C"/>
    <w:rsid w:val="00111EF2"/>
    <w:rsid w:val="00111FAE"/>
    <w:rsid w:val="0011218B"/>
    <w:rsid w:val="00112B75"/>
    <w:rsid w:val="00113044"/>
    <w:rsid w:val="00113242"/>
    <w:rsid w:val="00114432"/>
    <w:rsid w:val="0011497A"/>
    <w:rsid w:val="00114A7B"/>
    <w:rsid w:val="00114E3B"/>
    <w:rsid w:val="00114E62"/>
    <w:rsid w:val="0011525F"/>
    <w:rsid w:val="0011584A"/>
    <w:rsid w:val="00115FF9"/>
    <w:rsid w:val="001165F2"/>
    <w:rsid w:val="00116708"/>
    <w:rsid w:val="001177BE"/>
    <w:rsid w:val="0011786C"/>
    <w:rsid w:val="001179BA"/>
    <w:rsid w:val="00117F17"/>
    <w:rsid w:val="00117FB2"/>
    <w:rsid w:val="00117FDA"/>
    <w:rsid w:val="001205F1"/>
    <w:rsid w:val="00120769"/>
    <w:rsid w:val="00120A13"/>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821"/>
    <w:rsid w:val="00125871"/>
    <w:rsid w:val="001262B7"/>
    <w:rsid w:val="00126452"/>
    <w:rsid w:val="001264A2"/>
    <w:rsid w:val="00126ED6"/>
    <w:rsid w:val="001274F4"/>
    <w:rsid w:val="001275CB"/>
    <w:rsid w:val="00127901"/>
    <w:rsid w:val="001279EF"/>
    <w:rsid w:val="00127F18"/>
    <w:rsid w:val="00127F31"/>
    <w:rsid w:val="001300D3"/>
    <w:rsid w:val="0013017C"/>
    <w:rsid w:val="00130371"/>
    <w:rsid w:val="001304A5"/>
    <w:rsid w:val="00130ABA"/>
    <w:rsid w:val="00130F5A"/>
    <w:rsid w:val="001311F3"/>
    <w:rsid w:val="00131948"/>
    <w:rsid w:val="00131D33"/>
    <w:rsid w:val="001327C7"/>
    <w:rsid w:val="001328A7"/>
    <w:rsid w:val="00132A10"/>
    <w:rsid w:val="00132C7A"/>
    <w:rsid w:val="00133108"/>
    <w:rsid w:val="00133A51"/>
    <w:rsid w:val="00134355"/>
    <w:rsid w:val="00134578"/>
    <w:rsid w:val="0013460A"/>
    <w:rsid w:val="00134762"/>
    <w:rsid w:val="00134B0C"/>
    <w:rsid w:val="00134E6A"/>
    <w:rsid w:val="0013506F"/>
    <w:rsid w:val="001354C0"/>
    <w:rsid w:val="00135833"/>
    <w:rsid w:val="0013604F"/>
    <w:rsid w:val="0013707E"/>
    <w:rsid w:val="0013710B"/>
    <w:rsid w:val="0013730A"/>
    <w:rsid w:val="00137386"/>
    <w:rsid w:val="00137A54"/>
    <w:rsid w:val="00137F50"/>
    <w:rsid w:val="00140990"/>
    <w:rsid w:val="001409F4"/>
    <w:rsid w:val="00140A17"/>
    <w:rsid w:val="00140CB2"/>
    <w:rsid w:val="00140D5F"/>
    <w:rsid w:val="00141087"/>
    <w:rsid w:val="00141516"/>
    <w:rsid w:val="00141AB1"/>
    <w:rsid w:val="00142127"/>
    <w:rsid w:val="001424BD"/>
    <w:rsid w:val="00142A68"/>
    <w:rsid w:val="00142CF2"/>
    <w:rsid w:val="00142D2E"/>
    <w:rsid w:val="00142E83"/>
    <w:rsid w:val="0014350A"/>
    <w:rsid w:val="001436AE"/>
    <w:rsid w:val="00143BA8"/>
    <w:rsid w:val="00143BB1"/>
    <w:rsid w:val="00143E35"/>
    <w:rsid w:val="00143E39"/>
    <w:rsid w:val="001441A2"/>
    <w:rsid w:val="001451B5"/>
    <w:rsid w:val="00145949"/>
    <w:rsid w:val="001465E7"/>
    <w:rsid w:val="00146612"/>
    <w:rsid w:val="00146C9A"/>
    <w:rsid w:val="00146D79"/>
    <w:rsid w:val="001477B0"/>
    <w:rsid w:val="00147B29"/>
    <w:rsid w:val="0015090C"/>
    <w:rsid w:val="00150A86"/>
    <w:rsid w:val="00150A8A"/>
    <w:rsid w:val="00150F27"/>
    <w:rsid w:val="00151B6F"/>
    <w:rsid w:val="00151CB4"/>
    <w:rsid w:val="00151DF7"/>
    <w:rsid w:val="0015241C"/>
    <w:rsid w:val="00153089"/>
    <w:rsid w:val="0015355D"/>
    <w:rsid w:val="001535C3"/>
    <w:rsid w:val="00153B40"/>
    <w:rsid w:val="00153B9D"/>
    <w:rsid w:val="00154F31"/>
    <w:rsid w:val="00154FCD"/>
    <w:rsid w:val="00155237"/>
    <w:rsid w:val="00155279"/>
    <w:rsid w:val="001554E4"/>
    <w:rsid w:val="00155598"/>
    <w:rsid w:val="00155B25"/>
    <w:rsid w:val="00155CD3"/>
    <w:rsid w:val="001562DD"/>
    <w:rsid w:val="0015635F"/>
    <w:rsid w:val="001563CE"/>
    <w:rsid w:val="001569A4"/>
    <w:rsid w:val="00156AF2"/>
    <w:rsid w:val="00156B29"/>
    <w:rsid w:val="00156B8F"/>
    <w:rsid w:val="00156D8F"/>
    <w:rsid w:val="00156ED3"/>
    <w:rsid w:val="001573F7"/>
    <w:rsid w:val="0015767A"/>
    <w:rsid w:val="00157DF0"/>
    <w:rsid w:val="00160866"/>
    <w:rsid w:val="00161101"/>
    <w:rsid w:val="001613DD"/>
    <w:rsid w:val="00161704"/>
    <w:rsid w:val="00161893"/>
    <w:rsid w:val="00161C28"/>
    <w:rsid w:val="00161CB3"/>
    <w:rsid w:val="001627D2"/>
    <w:rsid w:val="00162A95"/>
    <w:rsid w:val="0016333A"/>
    <w:rsid w:val="001639CF"/>
    <w:rsid w:val="00163A6D"/>
    <w:rsid w:val="00163DD8"/>
    <w:rsid w:val="00164581"/>
    <w:rsid w:val="00164982"/>
    <w:rsid w:val="00164EF3"/>
    <w:rsid w:val="001650DE"/>
    <w:rsid w:val="00165CF8"/>
    <w:rsid w:val="00165ECC"/>
    <w:rsid w:val="001660ED"/>
    <w:rsid w:val="001662BD"/>
    <w:rsid w:val="0016638C"/>
    <w:rsid w:val="00166407"/>
    <w:rsid w:val="00166680"/>
    <w:rsid w:val="001666A4"/>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EAA"/>
    <w:rsid w:val="00172A06"/>
    <w:rsid w:val="00172B1A"/>
    <w:rsid w:val="00172C96"/>
    <w:rsid w:val="00172E2F"/>
    <w:rsid w:val="00172EC9"/>
    <w:rsid w:val="00172FBF"/>
    <w:rsid w:val="001734AF"/>
    <w:rsid w:val="00174585"/>
    <w:rsid w:val="001746C7"/>
    <w:rsid w:val="00174751"/>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FA1"/>
    <w:rsid w:val="00180FF1"/>
    <w:rsid w:val="00181083"/>
    <w:rsid w:val="00181317"/>
    <w:rsid w:val="0018237F"/>
    <w:rsid w:val="00182402"/>
    <w:rsid w:val="0018255A"/>
    <w:rsid w:val="00183065"/>
    <w:rsid w:val="00183A81"/>
    <w:rsid w:val="00183CAA"/>
    <w:rsid w:val="00183F5D"/>
    <w:rsid w:val="001845F2"/>
    <w:rsid w:val="00184E23"/>
    <w:rsid w:val="00184EE1"/>
    <w:rsid w:val="00184FCE"/>
    <w:rsid w:val="001850CD"/>
    <w:rsid w:val="00185517"/>
    <w:rsid w:val="00185680"/>
    <w:rsid w:val="00185EA2"/>
    <w:rsid w:val="00185F25"/>
    <w:rsid w:val="001864D8"/>
    <w:rsid w:val="00186902"/>
    <w:rsid w:val="00187765"/>
    <w:rsid w:val="00187BF0"/>
    <w:rsid w:val="00190123"/>
    <w:rsid w:val="00190885"/>
    <w:rsid w:val="00190CC9"/>
    <w:rsid w:val="0019115F"/>
    <w:rsid w:val="00191313"/>
    <w:rsid w:val="001915D9"/>
    <w:rsid w:val="001916A4"/>
    <w:rsid w:val="00191867"/>
    <w:rsid w:val="00191B0E"/>
    <w:rsid w:val="00192024"/>
    <w:rsid w:val="00192E2D"/>
    <w:rsid w:val="00193197"/>
    <w:rsid w:val="001932E5"/>
    <w:rsid w:val="0019341D"/>
    <w:rsid w:val="00193503"/>
    <w:rsid w:val="001936D6"/>
    <w:rsid w:val="001936F4"/>
    <w:rsid w:val="001948B2"/>
    <w:rsid w:val="00194EFA"/>
    <w:rsid w:val="00194F21"/>
    <w:rsid w:val="0019512C"/>
    <w:rsid w:val="0019577B"/>
    <w:rsid w:val="00195871"/>
    <w:rsid w:val="00195F30"/>
    <w:rsid w:val="001963E4"/>
    <w:rsid w:val="001964B9"/>
    <w:rsid w:val="001965D2"/>
    <w:rsid w:val="001966F0"/>
    <w:rsid w:val="0019717C"/>
    <w:rsid w:val="00197272"/>
    <w:rsid w:val="001972D4"/>
    <w:rsid w:val="001974CD"/>
    <w:rsid w:val="00197712"/>
    <w:rsid w:val="00197764"/>
    <w:rsid w:val="001978A0"/>
    <w:rsid w:val="001978CF"/>
    <w:rsid w:val="00197F91"/>
    <w:rsid w:val="001A0240"/>
    <w:rsid w:val="001A0389"/>
    <w:rsid w:val="001A0406"/>
    <w:rsid w:val="001A0873"/>
    <w:rsid w:val="001A0954"/>
    <w:rsid w:val="001A1116"/>
    <w:rsid w:val="001A1658"/>
    <w:rsid w:val="001A170B"/>
    <w:rsid w:val="001A18A8"/>
    <w:rsid w:val="001A1EC2"/>
    <w:rsid w:val="001A2119"/>
    <w:rsid w:val="001A2148"/>
    <w:rsid w:val="001A2169"/>
    <w:rsid w:val="001A2578"/>
    <w:rsid w:val="001A28DB"/>
    <w:rsid w:val="001A2A78"/>
    <w:rsid w:val="001A2AA5"/>
    <w:rsid w:val="001A2C20"/>
    <w:rsid w:val="001A301F"/>
    <w:rsid w:val="001A3557"/>
    <w:rsid w:val="001A373A"/>
    <w:rsid w:val="001A3B77"/>
    <w:rsid w:val="001A3E29"/>
    <w:rsid w:val="001A4981"/>
    <w:rsid w:val="001A50CC"/>
    <w:rsid w:val="001A5224"/>
    <w:rsid w:val="001A5391"/>
    <w:rsid w:val="001A53AA"/>
    <w:rsid w:val="001A5DFE"/>
    <w:rsid w:val="001A6041"/>
    <w:rsid w:val="001A60F9"/>
    <w:rsid w:val="001A6164"/>
    <w:rsid w:val="001A62DF"/>
    <w:rsid w:val="001A6560"/>
    <w:rsid w:val="001A67AF"/>
    <w:rsid w:val="001A6A83"/>
    <w:rsid w:val="001A6D6E"/>
    <w:rsid w:val="001A6F70"/>
    <w:rsid w:val="001A7685"/>
    <w:rsid w:val="001A7795"/>
    <w:rsid w:val="001A77FB"/>
    <w:rsid w:val="001A7B05"/>
    <w:rsid w:val="001A7D9E"/>
    <w:rsid w:val="001B0390"/>
    <w:rsid w:val="001B0789"/>
    <w:rsid w:val="001B10C1"/>
    <w:rsid w:val="001B12BB"/>
    <w:rsid w:val="001B1696"/>
    <w:rsid w:val="001B1A20"/>
    <w:rsid w:val="001B1D79"/>
    <w:rsid w:val="001B20C9"/>
    <w:rsid w:val="001B247B"/>
    <w:rsid w:val="001B28F5"/>
    <w:rsid w:val="001B2BDC"/>
    <w:rsid w:val="001B2D5F"/>
    <w:rsid w:val="001B3245"/>
    <w:rsid w:val="001B3618"/>
    <w:rsid w:val="001B36D6"/>
    <w:rsid w:val="001B38D3"/>
    <w:rsid w:val="001B3CB6"/>
    <w:rsid w:val="001B3FE0"/>
    <w:rsid w:val="001B424F"/>
    <w:rsid w:val="001B4338"/>
    <w:rsid w:val="001B4421"/>
    <w:rsid w:val="001B4C4F"/>
    <w:rsid w:val="001B57F5"/>
    <w:rsid w:val="001B58A9"/>
    <w:rsid w:val="001B5BE9"/>
    <w:rsid w:val="001B601F"/>
    <w:rsid w:val="001B69CA"/>
    <w:rsid w:val="001B700C"/>
    <w:rsid w:val="001B7420"/>
    <w:rsid w:val="001B778F"/>
    <w:rsid w:val="001B7F5E"/>
    <w:rsid w:val="001C01BE"/>
    <w:rsid w:val="001C026F"/>
    <w:rsid w:val="001C04D0"/>
    <w:rsid w:val="001C06CF"/>
    <w:rsid w:val="001C09D3"/>
    <w:rsid w:val="001C0DD2"/>
    <w:rsid w:val="001C0EA3"/>
    <w:rsid w:val="001C0FB7"/>
    <w:rsid w:val="001C14FF"/>
    <w:rsid w:val="001C15AE"/>
    <w:rsid w:val="001C197D"/>
    <w:rsid w:val="001C1EFF"/>
    <w:rsid w:val="001C20CD"/>
    <w:rsid w:val="001C23E8"/>
    <w:rsid w:val="001C25D2"/>
    <w:rsid w:val="001C2A12"/>
    <w:rsid w:val="001C2D2B"/>
    <w:rsid w:val="001C2D41"/>
    <w:rsid w:val="001C308F"/>
    <w:rsid w:val="001C3202"/>
    <w:rsid w:val="001C3514"/>
    <w:rsid w:val="001C4173"/>
    <w:rsid w:val="001C432A"/>
    <w:rsid w:val="001C445D"/>
    <w:rsid w:val="001C48A0"/>
    <w:rsid w:val="001C4D70"/>
    <w:rsid w:val="001C4ECB"/>
    <w:rsid w:val="001C529C"/>
    <w:rsid w:val="001C5398"/>
    <w:rsid w:val="001C552A"/>
    <w:rsid w:val="001C57F8"/>
    <w:rsid w:val="001C59E4"/>
    <w:rsid w:val="001C5CE0"/>
    <w:rsid w:val="001C6103"/>
    <w:rsid w:val="001C6DB1"/>
    <w:rsid w:val="001C6E1D"/>
    <w:rsid w:val="001C7607"/>
    <w:rsid w:val="001C771A"/>
    <w:rsid w:val="001C7EA8"/>
    <w:rsid w:val="001C7F8E"/>
    <w:rsid w:val="001D0FD9"/>
    <w:rsid w:val="001D1362"/>
    <w:rsid w:val="001D147A"/>
    <w:rsid w:val="001D19BE"/>
    <w:rsid w:val="001D2165"/>
    <w:rsid w:val="001D2295"/>
    <w:rsid w:val="001D2388"/>
    <w:rsid w:val="001D256D"/>
    <w:rsid w:val="001D25ED"/>
    <w:rsid w:val="001D2845"/>
    <w:rsid w:val="001D2951"/>
    <w:rsid w:val="001D2CDE"/>
    <w:rsid w:val="001D30AD"/>
    <w:rsid w:val="001D3572"/>
    <w:rsid w:val="001D3FA1"/>
    <w:rsid w:val="001D4251"/>
    <w:rsid w:val="001D490C"/>
    <w:rsid w:val="001D4E62"/>
    <w:rsid w:val="001D4EF2"/>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4E7"/>
    <w:rsid w:val="001E0502"/>
    <w:rsid w:val="001E0988"/>
    <w:rsid w:val="001E0D56"/>
    <w:rsid w:val="001E0E59"/>
    <w:rsid w:val="001E10D4"/>
    <w:rsid w:val="001E1BA1"/>
    <w:rsid w:val="001E1D2B"/>
    <w:rsid w:val="001E1D61"/>
    <w:rsid w:val="001E1DE5"/>
    <w:rsid w:val="001E2557"/>
    <w:rsid w:val="001E28A4"/>
    <w:rsid w:val="001E302E"/>
    <w:rsid w:val="001E324C"/>
    <w:rsid w:val="001E3576"/>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7431"/>
    <w:rsid w:val="001E7C26"/>
    <w:rsid w:val="001E7E9E"/>
    <w:rsid w:val="001F000B"/>
    <w:rsid w:val="001F02CF"/>
    <w:rsid w:val="001F02F2"/>
    <w:rsid w:val="001F0330"/>
    <w:rsid w:val="001F044E"/>
    <w:rsid w:val="001F05AC"/>
    <w:rsid w:val="001F0E5D"/>
    <w:rsid w:val="001F0FA6"/>
    <w:rsid w:val="001F1050"/>
    <w:rsid w:val="001F1128"/>
    <w:rsid w:val="001F192A"/>
    <w:rsid w:val="001F22ED"/>
    <w:rsid w:val="001F24A7"/>
    <w:rsid w:val="001F258A"/>
    <w:rsid w:val="001F2EB0"/>
    <w:rsid w:val="001F2FD6"/>
    <w:rsid w:val="001F32F2"/>
    <w:rsid w:val="001F383F"/>
    <w:rsid w:val="001F3E51"/>
    <w:rsid w:val="001F42E8"/>
    <w:rsid w:val="001F434E"/>
    <w:rsid w:val="001F4866"/>
    <w:rsid w:val="001F49C9"/>
    <w:rsid w:val="001F4BD2"/>
    <w:rsid w:val="001F4CA0"/>
    <w:rsid w:val="001F4F3C"/>
    <w:rsid w:val="001F50B2"/>
    <w:rsid w:val="001F538F"/>
    <w:rsid w:val="001F59F1"/>
    <w:rsid w:val="001F6902"/>
    <w:rsid w:val="001F6A06"/>
    <w:rsid w:val="001F6E2B"/>
    <w:rsid w:val="001F7275"/>
    <w:rsid w:val="0020043C"/>
    <w:rsid w:val="0020121A"/>
    <w:rsid w:val="0020212A"/>
    <w:rsid w:val="002023B2"/>
    <w:rsid w:val="002024CF"/>
    <w:rsid w:val="00202591"/>
    <w:rsid w:val="00202662"/>
    <w:rsid w:val="002029DB"/>
    <w:rsid w:val="00202B19"/>
    <w:rsid w:val="002030F6"/>
    <w:rsid w:val="00203A2D"/>
    <w:rsid w:val="002041A8"/>
    <w:rsid w:val="00204245"/>
    <w:rsid w:val="00204472"/>
    <w:rsid w:val="00204C1C"/>
    <w:rsid w:val="00204DB7"/>
    <w:rsid w:val="00204F50"/>
    <w:rsid w:val="0020574C"/>
    <w:rsid w:val="0020580B"/>
    <w:rsid w:val="00205F27"/>
    <w:rsid w:val="00206234"/>
    <w:rsid w:val="002065FA"/>
    <w:rsid w:val="00207255"/>
    <w:rsid w:val="0020763C"/>
    <w:rsid w:val="00207756"/>
    <w:rsid w:val="002078D5"/>
    <w:rsid w:val="00210376"/>
    <w:rsid w:val="0021069B"/>
    <w:rsid w:val="00210DF1"/>
    <w:rsid w:val="00210E1C"/>
    <w:rsid w:val="002115E6"/>
    <w:rsid w:val="002117AE"/>
    <w:rsid w:val="00211CC3"/>
    <w:rsid w:val="00211D2A"/>
    <w:rsid w:val="00211D73"/>
    <w:rsid w:val="00212167"/>
    <w:rsid w:val="0021263C"/>
    <w:rsid w:val="0021286A"/>
    <w:rsid w:val="00212B07"/>
    <w:rsid w:val="00213459"/>
    <w:rsid w:val="00213541"/>
    <w:rsid w:val="00213836"/>
    <w:rsid w:val="00213ABC"/>
    <w:rsid w:val="002141E8"/>
    <w:rsid w:val="0021511B"/>
    <w:rsid w:val="00215204"/>
    <w:rsid w:val="0021675B"/>
    <w:rsid w:val="002167EA"/>
    <w:rsid w:val="0021680A"/>
    <w:rsid w:val="00216C6E"/>
    <w:rsid w:val="0021771B"/>
    <w:rsid w:val="0021786F"/>
    <w:rsid w:val="00217B94"/>
    <w:rsid w:val="00217C3B"/>
    <w:rsid w:val="00217FF8"/>
    <w:rsid w:val="002205A9"/>
    <w:rsid w:val="00220729"/>
    <w:rsid w:val="00221323"/>
    <w:rsid w:val="002219FB"/>
    <w:rsid w:val="00221B54"/>
    <w:rsid w:val="00221E67"/>
    <w:rsid w:val="00222116"/>
    <w:rsid w:val="002228B7"/>
    <w:rsid w:val="002228BE"/>
    <w:rsid w:val="002229F0"/>
    <w:rsid w:val="00222D2E"/>
    <w:rsid w:val="00222F04"/>
    <w:rsid w:val="0022318B"/>
    <w:rsid w:val="0022327A"/>
    <w:rsid w:val="00223EEE"/>
    <w:rsid w:val="00224423"/>
    <w:rsid w:val="002246BC"/>
    <w:rsid w:val="00224FA8"/>
    <w:rsid w:val="0022509F"/>
    <w:rsid w:val="00225BAE"/>
    <w:rsid w:val="00225C00"/>
    <w:rsid w:val="00226062"/>
    <w:rsid w:val="00226435"/>
    <w:rsid w:val="0022691E"/>
    <w:rsid w:val="00226C7B"/>
    <w:rsid w:val="0022753F"/>
    <w:rsid w:val="00227A6A"/>
    <w:rsid w:val="0023014F"/>
    <w:rsid w:val="002303F8"/>
    <w:rsid w:val="00230679"/>
    <w:rsid w:val="0023098B"/>
    <w:rsid w:val="0023107F"/>
    <w:rsid w:val="00231B8C"/>
    <w:rsid w:val="00232238"/>
    <w:rsid w:val="0023234C"/>
    <w:rsid w:val="00232451"/>
    <w:rsid w:val="00232640"/>
    <w:rsid w:val="00232A22"/>
    <w:rsid w:val="00232EAE"/>
    <w:rsid w:val="00233D4F"/>
    <w:rsid w:val="00233EF5"/>
    <w:rsid w:val="00233F72"/>
    <w:rsid w:val="00234099"/>
    <w:rsid w:val="0023413F"/>
    <w:rsid w:val="002341F8"/>
    <w:rsid w:val="002347CD"/>
    <w:rsid w:val="00234B89"/>
    <w:rsid w:val="00234C8A"/>
    <w:rsid w:val="00235BDC"/>
    <w:rsid w:val="00235E7D"/>
    <w:rsid w:val="00235FA3"/>
    <w:rsid w:val="0023607E"/>
    <w:rsid w:val="002360D7"/>
    <w:rsid w:val="002362A5"/>
    <w:rsid w:val="002366E4"/>
    <w:rsid w:val="002369B0"/>
    <w:rsid w:val="00236A09"/>
    <w:rsid w:val="00236D62"/>
    <w:rsid w:val="002372AD"/>
    <w:rsid w:val="0023732E"/>
    <w:rsid w:val="00237B1A"/>
    <w:rsid w:val="00237E31"/>
    <w:rsid w:val="00237F96"/>
    <w:rsid w:val="002405B0"/>
    <w:rsid w:val="00240BD0"/>
    <w:rsid w:val="002410B0"/>
    <w:rsid w:val="00241218"/>
    <w:rsid w:val="002416C7"/>
    <w:rsid w:val="00241C55"/>
    <w:rsid w:val="00241F6F"/>
    <w:rsid w:val="00241FD6"/>
    <w:rsid w:val="00242225"/>
    <w:rsid w:val="0024234D"/>
    <w:rsid w:val="002426EC"/>
    <w:rsid w:val="00242E6D"/>
    <w:rsid w:val="00243166"/>
    <w:rsid w:val="00243748"/>
    <w:rsid w:val="0024391E"/>
    <w:rsid w:val="002447F4"/>
    <w:rsid w:val="00245012"/>
    <w:rsid w:val="0024510E"/>
    <w:rsid w:val="00245414"/>
    <w:rsid w:val="0024564C"/>
    <w:rsid w:val="0024622D"/>
    <w:rsid w:val="0024662B"/>
    <w:rsid w:val="002466A4"/>
    <w:rsid w:val="0024779D"/>
    <w:rsid w:val="0025029E"/>
    <w:rsid w:val="002508C3"/>
    <w:rsid w:val="002511A3"/>
    <w:rsid w:val="00251959"/>
    <w:rsid w:val="00251BD2"/>
    <w:rsid w:val="002531D0"/>
    <w:rsid w:val="00253DAA"/>
    <w:rsid w:val="00253EA1"/>
    <w:rsid w:val="00254384"/>
    <w:rsid w:val="0025470A"/>
    <w:rsid w:val="002547F1"/>
    <w:rsid w:val="00254938"/>
    <w:rsid w:val="00254F25"/>
    <w:rsid w:val="0025569F"/>
    <w:rsid w:val="00255A22"/>
    <w:rsid w:val="00255B6E"/>
    <w:rsid w:val="00255E65"/>
    <w:rsid w:val="00255FB5"/>
    <w:rsid w:val="00256832"/>
    <w:rsid w:val="00256937"/>
    <w:rsid w:val="00256BC6"/>
    <w:rsid w:val="00257119"/>
    <w:rsid w:val="002571B1"/>
    <w:rsid w:val="00257207"/>
    <w:rsid w:val="0025757D"/>
    <w:rsid w:val="00257656"/>
    <w:rsid w:val="002576CC"/>
    <w:rsid w:val="00257A38"/>
    <w:rsid w:val="00257C51"/>
    <w:rsid w:val="00260259"/>
    <w:rsid w:val="002604D6"/>
    <w:rsid w:val="0026069A"/>
    <w:rsid w:val="00260706"/>
    <w:rsid w:val="00260ECA"/>
    <w:rsid w:val="00260FF6"/>
    <w:rsid w:val="002610C1"/>
    <w:rsid w:val="00261452"/>
    <w:rsid w:val="002617C2"/>
    <w:rsid w:val="002618E0"/>
    <w:rsid w:val="00261BA0"/>
    <w:rsid w:val="002620D4"/>
    <w:rsid w:val="002621CA"/>
    <w:rsid w:val="0026277B"/>
    <w:rsid w:val="00262AF8"/>
    <w:rsid w:val="00263E6C"/>
    <w:rsid w:val="00264511"/>
    <w:rsid w:val="0026468A"/>
    <w:rsid w:val="00264E93"/>
    <w:rsid w:val="00264EE6"/>
    <w:rsid w:val="00265194"/>
    <w:rsid w:val="0026580A"/>
    <w:rsid w:val="002659AD"/>
    <w:rsid w:val="00266344"/>
    <w:rsid w:val="00266995"/>
    <w:rsid w:val="002671ED"/>
    <w:rsid w:val="0026729C"/>
    <w:rsid w:val="00267608"/>
    <w:rsid w:val="002678BE"/>
    <w:rsid w:val="002679B9"/>
    <w:rsid w:val="00267D56"/>
    <w:rsid w:val="00267E54"/>
    <w:rsid w:val="0027040E"/>
    <w:rsid w:val="00270566"/>
    <w:rsid w:val="00270727"/>
    <w:rsid w:val="00270A85"/>
    <w:rsid w:val="00270D45"/>
    <w:rsid w:val="002710FB"/>
    <w:rsid w:val="00271384"/>
    <w:rsid w:val="0027157F"/>
    <w:rsid w:val="0027169B"/>
    <w:rsid w:val="00271997"/>
    <w:rsid w:val="00271A90"/>
    <w:rsid w:val="00271C3B"/>
    <w:rsid w:val="00271E0C"/>
    <w:rsid w:val="002720E7"/>
    <w:rsid w:val="00272203"/>
    <w:rsid w:val="002725FC"/>
    <w:rsid w:val="00272797"/>
    <w:rsid w:val="00272840"/>
    <w:rsid w:val="002731DB"/>
    <w:rsid w:val="002739D6"/>
    <w:rsid w:val="00273A2F"/>
    <w:rsid w:val="0027405C"/>
    <w:rsid w:val="0027409C"/>
    <w:rsid w:val="00274255"/>
    <w:rsid w:val="00274AF9"/>
    <w:rsid w:val="00274BA1"/>
    <w:rsid w:val="00274BB7"/>
    <w:rsid w:val="00274E30"/>
    <w:rsid w:val="00274E81"/>
    <w:rsid w:val="00274F04"/>
    <w:rsid w:val="0027510F"/>
    <w:rsid w:val="00276772"/>
    <w:rsid w:val="002767D2"/>
    <w:rsid w:val="0027741A"/>
    <w:rsid w:val="00277528"/>
    <w:rsid w:val="002777EF"/>
    <w:rsid w:val="00277872"/>
    <w:rsid w:val="00277E37"/>
    <w:rsid w:val="002805AD"/>
    <w:rsid w:val="002808F3"/>
    <w:rsid w:val="002810B5"/>
    <w:rsid w:val="002821D2"/>
    <w:rsid w:val="002821EC"/>
    <w:rsid w:val="00282836"/>
    <w:rsid w:val="00282853"/>
    <w:rsid w:val="002829F4"/>
    <w:rsid w:val="00282E3B"/>
    <w:rsid w:val="002833DB"/>
    <w:rsid w:val="0028353B"/>
    <w:rsid w:val="0028377E"/>
    <w:rsid w:val="00283D36"/>
    <w:rsid w:val="002841D4"/>
    <w:rsid w:val="002844E3"/>
    <w:rsid w:val="002847C3"/>
    <w:rsid w:val="002847DC"/>
    <w:rsid w:val="00284904"/>
    <w:rsid w:val="00284986"/>
    <w:rsid w:val="00284C02"/>
    <w:rsid w:val="0028523B"/>
    <w:rsid w:val="002854B9"/>
    <w:rsid w:val="002857DC"/>
    <w:rsid w:val="00285CAA"/>
    <w:rsid w:val="00285EA6"/>
    <w:rsid w:val="00285EE9"/>
    <w:rsid w:val="00285FEF"/>
    <w:rsid w:val="00286229"/>
    <w:rsid w:val="00286777"/>
    <w:rsid w:val="0028689F"/>
    <w:rsid w:val="00286A04"/>
    <w:rsid w:val="002904C4"/>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E61"/>
    <w:rsid w:val="0029400E"/>
    <w:rsid w:val="0029406C"/>
    <w:rsid w:val="002942FB"/>
    <w:rsid w:val="002943C9"/>
    <w:rsid w:val="00294929"/>
    <w:rsid w:val="00295AC6"/>
    <w:rsid w:val="00295B77"/>
    <w:rsid w:val="00295DA5"/>
    <w:rsid w:val="00295E14"/>
    <w:rsid w:val="00296180"/>
    <w:rsid w:val="0029652D"/>
    <w:rsid w:val="002968AD"/>
    <w:rsid w:val="00296EC7"/>
    <w:rsid w:val="00296F77"/>
    <w:rsid w:val="00297B2B"/>
    <w:rsid w:val="002A03E6"/>
    <w:rsid w:val="002A0635"/>
    <w:rsid w:val="002A0B52"/>
    <w:rsid w:val="002A0F95"/>
    <w:rsid w:val="002A1187"/>
    <w:rsid w:val="002A1288"/>
    <w:rsid w:val="002A1629"/>
    <w:rsid w:val="002A16AA"/>
    <w:rsid w:val="002A1C41"/>
    <w:rsid w:val="002A27A8"/>
    <w:rsid w:val="002A293C"/>
    <w:rsid w:val="002A2E77"/>
    <w:rsid w:val="002A2FB6"/>
    <w:rsid w:val="002A31CB"/>
    <w:rsid w:val="002A34AF"/>
    <w:rsid w:val="002A3FC5"/>
    <w:rsid w:val="002A4234"/>
    <w:rsid w:val="002A44BD"/>
    <w:rsid w:val="002A4FAB"/>
    <w:rsid w:val="002A50D0"/>
    <w:rsid w:val="002A525F"/>
    <w:rsid w:val="002A57B8"/>
    <w:rsid w:val="002A586F"/>
    <w:rsid w:val="002A5BBB"/>
    <w:rsid w:val="002A6872"/>
    <w:rsid w:val="002A6ED2"/>
    <w:rsid w:val="002A7210"/>
    <w:rsid w:val="002A7889"/>
    <w:rsid w:val="002A7FCA"/>
    <w:rsid w:val="002B015B"/>
    <w:rsid w:val="002B0B22"/>
    <w:rsid w:val="002B0E8E"/>
    <w:rsid w:val="002B0EA6"/>
    <w:rsid w:val="002B1059"/>
    <w:rsid w:val="002B129B"/>
    <w:rsid w:val="002B17F0"/>
    <w:rsid w:val="002B1A9B"/>
    <w:rsid w:val="002B1CE2"/>
    <w:rsid w:val="002B299E"/>
    <w:rsid w:val="002B2D49"/>
    <w:rsid w:val="002B2F8A"/>
    <w:rsid w:val="002B3C99"/>
    <w:rsid w:val="002B3D6E"/>
    <w:rsid w:val="002B3D74"/>
    <w:rsid w:val="002B3FAA"/>
    <w:rsid w:val="002B40B7"/>
    <w:rsid w:val="002B4B14"/>
    <w:rsid w:val="002B4B1B"/>
    <w:rsid w:val="002B4D20"/>
    <w:rsid w:val="002B5378"/>
    <w:rsid w:val="002B5B6A"/>
    <w:rsid w:val="002B644A"/>
    <w:rsid w:val="002B65E9"/>
    <w:rsid w:val="002B7333"/>
    <w:rsid w:val="002B7335"/>
    <w:rsid w:val="002C037D"/>
    <w:rsid w:val="002C07F1"/>
    <w:rsid w:val="002C0AA1"/>
    <w:rsid w:val="002C0B87"/>
    <w:rsid w:val="002C0CE7"/>
    <w:rsid w:val="002C0EFF"/>
    <w:rsid w:val="002C1A53"/>
    <w:rsid w:val="002C1FD0"/>
    <w:rsid w:val="002C2866"/>
    <w:rsid w:val="002C2BAC"/>
    <w:rsid w:val="002C2F44"/>
    <w:rsid w:val="002C2FCB"/>
    <w:rsid w:val="002C33A0"/>
    <w:rsid w:val="002C370A"/>
    <w:rsid w:val="002C3860"/>
    <w:rsid w:val="002C3CA6"/>
    <w:rsid w:val="002C3E02"/>
    <w:rsid w:val="002C4EF5"/>
    <w:rsid w:val="002C59F7"/>
    <w:rsid w:val="002C635D"/>
    <w:rsid w:val="002C6AC5"/>
    <w:rsid w:val="002C6F02"/>
    <w:rsid w:val="002C75AB"/>
    <w:rsid w:val="002C75BE"/>
    <w:rsid w:val="002C7A02"/>
    <w:rsid w:val="002C7CCF"/>
    <w:rsid w:val="002C7D30"/>
    <w:rsid w:val="002D01EF"/>
    <w:rsid w:val="002D0452"/>
    <w:rsid w:val="002D098A"/>
    <w:rsid w:val="002D0A33"/>
    <w:rsid w:val="002D0F80"/>
    <w:rsid w:val="002D1249"/>
    <w:rsid w:val="002D12DE"/>
    <w:rsid w:val="002D1CD5"/>
    <w:rsid w:val="002D276E"/>
    <w:rsid w:val="002D2B0F"/>
    <w:rsid w:val="002D2B67"/>
    <w:rsid w:val="002D2C5E"/>
    <w:rsid w:val="002D437D"/>
    <w:rsid w:val="002D4E3D"/>
    <w:rsid w:val="002D52AF"/>
    <w:rsid w:val="002D53BB"/>
    <w:rsid w:val="002D570D"/>
    <w:rsid w:val="002D696F"/>
    <w:rsid w:val="002D6A1C"/>
    <w:rsid w:val="002D6D44"/>
    <w:rsid w:val="002D7206"/>
    <w:rsid w:val="002D7328"/>
    <w:rsid w:val="002D734D"/>
    <w:rsid w:val="002D7354"/>
    <w:rsid w:val="002D73F5"/>
    <w:rsid w:val="002D7415"/>
    <w:rsid w:val="002D793F"/>
    <w:rsid w:val="002D799C"/>
    <w:rsid w:val="002D7AA7"/>
    <w:rsid w:val="002D7BC5"/>
    <w:rsid w:val="002D7E06"/>
    <w:rsid w:val="002D7E35"/>
    <w:rsid w:val="002E08BB"/>
    <w:rsid w:val="002E0A8A"/>
    <w:rsid w:val="002E1EEA"/>
    <w:rsid w:val="002E280A"/>
    <w:rsid w:val="002E2AFE"/>
    <w:rsid w:val="002E2E52"/>
    <w:rsid w:val="002E3195"/>
    <w:rsid w:val="002E36B9"/>
    <w:rsid w:val="002E3754"/>
    <w:rsid w:val="002E3938"/>
    <w:rsid w:val="002E4A0C"/>
    <w:rsid w:val="002E4E84"/>
    <w:rsid w:val="002E4F7C"/>
    <w:rsid w:val="002E5054"/>
    <w:rsid w:val="002E54E4"/>
    <w:rsid w:val="002E54EC"/>
    <w:rsid w:val="002E600B"/>
    <w:rsid w:val="002E61A4"/>
    <w:rsid w:val="002E62B1"/>
    <w:rsid w:val="002E63AF"/>
    <w:rsid w:val="002E658A"/>
    <w:rsid w:val="002E67CC"/>
    <w:rsid w:val="002E6BC0"/>
    <w:rsid w:val="002E6FD3"/>
    <w:rsid w:val="002E75E9"/>
    <w:rsid w:val="002E7813"/>
    <w:rsid w:val="002E799F"/>
    <w:rsid w:val="002F0478"/>
    <w:rsid w:val="002F06B8"/>
    <w:rsid w:val="002F0896"/>
    <w:rsid w:val="002F08A2"/>
    <w:rsid w:val="002F08F8"/>
    <w:rsid w:val="002F110C"/>
    <w:rsid w:val="002F1433"/>
    <w:rsid w:val="002F1A66"/>
    <w:rsid w:val="002F1C9B"/>
    <w:rsid w:val="002F2FE6"/>
    <w:rsid w:val="002F30F1"/>
    <w:rsid w:val="002F3909"/>
    <w:rsid w:val="002F39D7"/>
    <w:rsid w:val="002F3D34"/>
    <w:rsid w:val="002F3F9F"/>
    <w:rsid w:val="002F4372"/>
    <w:rsid w:val="002F440B"/>
    <w:rsid w:val="002F467E"/>
    <w:rsid w:val="002F47B6"/>
    <w:rsid w:val="002F4B92"/>
    <w:rsid w:val="002F4FED"/>
    <w:rsid w:val="002F500C"/>
    <w:rsid w:val="002F5188"/>
    <w:rsid w:val="002F5469"/>
    <w:rsid w:val="002F55A9"/>
    <w:rsid w:val="002F5653"/>
    <w:rsid w:val="002F6047"/>
    <w:rsid w:val="002F6BC4"/>
    <w:rsid w:val="002F6D61"/>
    <w:rsid w:val="002F7346"/>
    <w:rsid w:val="002F7362"/>
    <w:rsid w:val="002F79F3"/>
    <w:rsid w:val="002F7EAA"/>
    <w:rsid w:val="002F7F41"/>
    <w:rsid w:val="00301735"/>
    <w:rsid w:val="003019B5"/>
    <w:rsid w:val="003019C3"/>
    <w:rsid w:val="003019F6"/>
    <w:rsid w:val="00301BA6"/>
    <w:rsid w:val="00302004"/>
    <w:rsid w:val="00302723"/>
    <w:rsid w:val="0030277A"/>
    <w:rsid w:val="00302854"/>
    <w:rsid w:val="00302EC6"/>
    <w:rsid w:val="003031B2"/>
    <w:rsid w:val="00303476"/>
    <w:rsid w:val="00303945"/>
    <w:rsid w:val="00303E19"/>
    <w:rsid w:val="00303E9D"/>
    <w:rsid w:val="0030483F"/>
    <w:rsid w:val="00304992"/>
    <w:rsid w:val="00304CD3"/>
    <w:rsid w:val="003053F9"/>
    <w:rsid w:val="0030548C"/>
    <w:rsid w:val="003058A1"/>
    <w:rsid w:val="00306175"/>
    <w:rsid w:val="00306E07"/>
    <w:rsid w:val="003072FA"/>
    <w:rsid w:val="00307C8F"/>
    <w:rsid w:val="0031012F"/>
    <w:rsid w:val="003106D2"/>
    <w:rsid w:val="003109A7"/>
    <w:rsid w:val="00311035"/>
    <w:rsid w:val="003110FD"/>
    <w:rsid w:val="003113DA"/>
    <w:rsid w:val="00311403"/>
    <w:rsid w:val="003114B1"/>
    <w:rsid w:val="003125D4"/>
    <w:rsid w:val="00312A34"/>
    <w:rsid w:val="0031311A"/>
    <w:rsid w:val="003134A1"/>
    <w:rsid w:val="003134A3"/>
    <w:rsid w:val="00313878"/>
    <w:rsid w:val="003141D9"/>
    <w:rsid w:val="0031429E"/>
    <w:rsid w:val="00314722"/>
    <w:rsid w:val="0031499B"/>
    <w:rsid w:val="00314AB7"/>
    <w:rsid w:val="003157F2"/>
    <w:rsid w:val="00315925"/>
    <w:rsid w:val="003160C0"/>
    <w:rsid w:val="00316254"/>
    <w:rsid w:val="0031628A"/>
    <w:rsid w:val="003168F5"/>
    <w:rsid w:val="00316C48"/>
    <w:rsid w:val="003171C0"/>
    <w:rsid w:val="003176E8"/>
    <w:rsid w:val="0031774A"/>
    <w:rsid w:val="00317A7C"/>
    <w:rsid w:val="00317DC8"/>
    <w:rsid w:val="00320385"/>
    <w:rsid w:val="0032048F"/>
    <w:rsid w:val="00320825"/>
    <w:rsid w:val="00320CF5"/>
    <w:rsid w:val="003214EA"/>
    <w:rsid w:val="00321740"/>
    <w:rsid w:val="003218F4"/>
    <w:rsid w:val="00321EEF"/>
    <w:rsid w:val="00322107"/>
    <w:rsid w:val="003222D1"/>
    <w:rsid w:val="003223DD"/>
    <w:rsid w:val="0032252C"/>
    <w:rsid w:val="00322DF4"/>
    <w:rsid w:val="0032315E"/>
    <w:rsid w:val="00323250"/>
    <w:rsid w:val="0032335E"/>
    <w:rsid w:val="003234DD"/>
    <w:rsid w:val="0032353A"/>
    <w:rsid w:val="00323547"/>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DC0"/>
    <w:rsid w:val="00326DD6"/>
    <w:rsid w:val="00326EB1"/>
    <w:rsid w:val="00327110"/>
    <w:rsid w:val="00327436"/>
    <w:rsid w:val="00327868"/>
    <w:rsid w:val="00327C3C"/>
    <w:rsid w:val="00330561"/>
    <w:rsid w:val="0033057A"/>
    <w:rsid w:val="00330912"/>
    <w:rsid w:val="00330BEF"/>
    <w:rsid w:val="0033136E"/>
    <w:rsid w:val="003315C3"/>
    <w:rsid w:val="003316BD"/>
    <w:rsid w:val="00331859"/>
    <w:rsid w:val="00331B49"/>
    <w:rsid w:val="00331FB6"/>
    <w:rsid w:val="0033277F"/>
    <w:rsid w:val="003327B6"/>
    <w:rsid w:val="00332908"/>
    <w:rsid w:val="00332BFA"/>
    <w:rsid w:val="00332DD8"/>
    <w:rsid w:val="0033346E"/>
    <w:rsid w:val="00333845"/>
    <w:rsid w:val="00333EBE"/>
    <w:rsid w:val="00334230"/>
    <w:rsid w:val="0033435A"/>
    <w:rsid w:val="00334416"/>
    <w:rsid w:val="0033477F"/>
    <w:rsid w:val="0033483B"/>
    <w:rsid w:val="00335A45"/>
    <w:rsid w:val="00335B44"/>
    <w:rsid w:val="00335CAF"/>
    <w:rsid w:val="00335D0E"/>
    <w:rsid w:val="003364FC"/>
    <w:rsid w:val="00336549"/>
    <w:rsid w:val="003369D9"/>
    <w:rsid w:val="00336E05"/>
    <w:rsid w:val="003373AB"/>
    <w:rsid w:val="003373DE"/>
    <w:rsid w:val="00337F2C"/>
    <w:rsid w:val="00337FB6"/>
    <w:rsid w:val="00340205"/>
    <w:rsid w:val="00340C6F"/>
    <w:rsid w:val="00340FB8"/>
    <w:rsid w:val="00341074"/>
    <w:rsid w:val="00341417"/>
    <w:rsid w:val="003416CD"/>
    <w:rsid w:val="0034170A"/>
    <w:rsid w:val="00341C40"/>
    <w:rsid w:val="00341C77"/>
    <w:rsid w:val="00341CBA"/>
    <w:rsid w:val="00342401"/>
    <w:rsid w:val="00342605"/>
    <w:rsid w:val="00343042"/>
    <w:rsid w:val="00343B97"/>
    <w:rsid w:val="00343F0B"/>
    <w:rsid w:val="00345027"/>
    <w:rsid w:val="003452F4"/>
    <w:rsid w:val="00345569"/>
    <w:rsid w:val="00345BEA"/>
    <w:rsid w:val="00345D36"/>
    <w:rsid w:val="00345DB0"/>
    <w:rsid w:val="0034656E"/>
    <w:rsid w:val="003472D9"/>
    <w:rsid w:val="00347C98"/>
    <w:rsid w:val="00347F6E"/>
    <w:rsid w:val="00350B07"/>
    <w:rsid w:val="00351615"/>
    <w:rsid w:val="00351689"/>
    <w:rsid w:val="00351EC0"/>
    <w:rsid w:val="00351F70"/>
    <w:rsid w:val="00352101"/>
    <w:rsid w:val="00352287"/>
    <w:rsid w:val="0035235A"/>
    <w:rsid w:val="0035235B"/>
    <w:rsid w:val="00352731"/>
    <w:rsid w:val="003527DB"/>
    <w:rsid w:val="003529A0"/>
    <w:rsid w:val="00353180"/>
    <w:rsid w:val="00354C0B"/>
    <w:rsid w:val="003550F1"/>
    <w:rsid w:val="0035530C"/>
    <w:rsid w:val="003555C2"/>
    <w:rsid w:val="00355A87"/>
    <w:rsid w:val="00355B3E"/>
    <w:rsid w:val="00355F80"/>
    <w:rsid w:val="00356019"/>
    <w:rsid w:val="0035690A"/>
    <w:rsid w:val="00356AE1"/>
    <w:rsid w:val="00356C99"/>
    <w:rsid w:val="0035751D"/>
    <w:rsid w:val="0035787A"/>
    <w:rsid w:val="00357C6C"/>
    <w:rsid w:val="003608EC"/>
    <w:rsid w:val="00360C72"/>
    <w:rsid w:val="0036148B"/>
    <w:rsid w:val="003615CC"/>
    <w:rsid w:val="00362208"/>
    <w:rsid w:val="003623E7"/>
    <w:rsid w:val="00362662"/>
    <w:rsid w:val="00362702"/>
    <w:rsid w:val="003627AA"/>
    <w:rsid w:val="0036284F"/>
    <w:rsid w:val="00362B3D"/>
    <w:rsid w:val="00362C1F"/>
    <w:rsid w:val="003634E4"/>
    <w:rsid w:val="00363851"/>
    <w:rsid w:val="003639B5"/>
    <w:rsid w:val="00363C08"/>
    <w:rsid w:val="00363D67"/>
    <w:rsid w:val="00363E08"/>
    <w:rsid w:val="0036413D"/>
    <w:rsid w:val="00364B2B"/>
    <w:rsid w:val="00364E3E"/>
    <w:rsid w:val="00364E77"/>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5B5"/>
    <w:rsid w:val="00370A2A"/>
    <w:rsid w:val="00370A7E"/>
    <w:rsid w:val="00371A2C"/>
    <w:rsid w:val="00371D18"/>
    <w:rsid w:val="0037228A"/>
    <w:rsid w:val="003728B3"/>
    <w:rsid w:val="00372B73"/>
    <w:rsid w:val="00372D1C"/>
    <w:rsid w:val="00372D90"/>
    <w:rsid w:val="0037329F"/>
    <w:rsid w:val="0037347A"/>
    <w:rsid w:val="00373495"/>
    <w:rsid w:val="0037359B"/>
    <w:rsid w:val="00373626"/>
    <w:rsid w:val="00373A42"/>
    <w:rsid w:val="00373B19"/>
    <w:rsid w:val="00373C0A"/>
    <w:rsid w:val="00373FFE"/>
    <w:rsid w:val="00374E19"/>
    <w:rsid w:val="00374F86"/>
    <w:rsid w:val="003750AB"/>
    <w:rsid w:val="00375696"/>
    <w:rsid w:val="00375B49"/>
    <w:rsid w:val="003761E1"/>
    <w:rsid w:val="00376D61"/>
    <w:rsid w:val="00376FDA"/>
    <w:rsid w:val="00377098"/>
    <w:rsid w:val="003773AC"/>
    <w:rsid w:val="0037797D"/>
    <w:rsid w:val="00380071"/>
    <w:rsid w:val="00380210"/>
    <w:rsid w:val="0038048A"/>
    <w:rsid w:val="00380885"/>
    <w:rsid w:val="00380AA3"/>
    <w:rsid w:val="00380BD0"/>
    <w:rsid w:val="00381047"/>
    <w:rsid w:val="00381FF0"/>
    <w:rsid w:val="0038203B"/>
    <w:rsid w:val="00382085"/>
    <w:rsid w:val="0038313E"/>
    <w:rsid w:val="0038328C"/>
    <w:rsid w:val="00383374"/>
    <w:rsid w:val="003833B6"/>
    <w:rsid w:val="00383428"/>
    <w:rsid w:val="003838C6"/>
    <w:rsid w:val="00384773"/>
    <w:rsid w:val="00384A65"/>
    <w:rsid w:val="00384B14"/>
    <w:rsid w:val="00384B7F"/>
    <w:rsid w:val="00384DE7"/>
    <w:rsid w:val="00385748"/>
    <w:rsid w:val="003867B3"/>
    <w:rsid w:val="003867E9"/>
    <w:rsid w:val="00386AC6"/>
    <w:rsid w:val="00386AE4"/>
    <w:rsid w:val="00387077"/>
    <w:rsid w:val="00387103"/>
    <w:rsid w:val="00387799"/>
    <w:rsid w:val="0038795A"/>
    <w:rsid w:val="0039012A"/>
    <w:rsid w:val="00390B1A"/>
    <w:rsid w:val="00390DD0"/>
    <w:rsid w:val="00390E92"/>
    <w:rsid w:val="00390FDD"/>
    <w:rsid w:val="0039106C"/>
    <w:rsid w:val="003912E0"/>
    <w:rsid w:val="00391438"/>
    <w:rsid w:val="0039187B"/>
    <w:rsid w:val="00391B32"/>
    <w:rsid w:val="003923A2"/>
    <w:rsid w:val="0039273D"/>
    <w:rsid w:val="00392DB8"/>
    <w:rsid w:val="00393516"/>
    <w:rsid w:val="0039370C"/>
    <w:rsid w:val="0039373C"/>
    <w:rsid w:val="00393F1A"/>
    <w:rsid w:val="003940BB"/>
    <w:rsid w:val="0039431D"/>
    <w:rsid w:val="0039507B"/>
    <w:rsid w:val="00395292"/>
    <w:rsid w:val="00395684"/>
    <w:rsid w:val="003962E3"/>
    <w:rsid w:val="00396706"/>
    <w:rsid w:val="00396F95"/>
    <w:rsid w:val="0039731D"/>
    <w:rsid w:val="0039765A"/>
    <w:rsid w:val="00397C50"/>
    <w:rsid w:val="003A0B0E"/>
    <w:rsid w:val="003A0D41"/>
    <w:rsid w:val="003A0DA2"/>
    <w:rsid w:val="003A13BE"/>
    <w:rsid w:val="003A13FA"/>
    <w:rsid w:val="003A153F"/>
    <w:rsid w:val="003A17CC"/>
    <w:rsid w:val="003A17FE"/>
    <w:rsid w:val="003A18A3"/>
    <w:rsid w:val="003A18CE"/>
    <w:rsid w:val="003A1A3C"/>
    <w:rsid w:val="003A1EF7"/>
    <w:rsid w:val="003A2106"/>
    <w:rsid w:val="003A24FD"/>
    <w:rsid w:val="003A25B9"/>
    <w:rsid w:val="003A2B41"/>
    <w:rsid w:val="003A2F5A"/>
    <w:rsid w:val="003A3009"/>
    <w:rsid w:val="003A3027"/>
    <w:rsid w:val="003A330F"/>
    <w:rsid w:val="003A375B"/>
    <w:rsid w:val="003A3B57"/>
    <w:rsid w:val="003A3CF5"/>
    <w:rsid w:val="003A45DF"/>
    <w:rsid w:val="003A4860"/>
    <w:rsid w:val="003A49C9"/>
    <w:rsid w:val="003A4C31"/>
    <w:rsid w:val="003A4FFF"/>
    <w:rsid w:val="003A5606"/>
    <w:rsid w:val="003A56F7"/>
    <w:rsid w:val="003A5B29"/>
    <w:rsid w:val="003A6043"/>
    <w:rsid w:val="003A6A30"/>
    <w:rsid w:val="003A6A82"/>
    <w:rsid w:val="003A6F1B"/>
    <w:rsid w:val="003A6F44"/>
    <w:rsid w:val="003A6FB5"/>
    <w:rsid w:val="003B01B5"/>
    <w:rsid w:val="003B0457"/>
    <w:rsid w:val="003B0557"/>
    <w:rsid w:val="003B0830"/>
    <w:rsid w:val="003B093D"/>
    <w:rsid w:val="003B0BCF"/>
    <w:rsid w:val="003B0D65"/>
    <w:rsid w:val="003B14A0"/>
    <w:rsid w:val="003B189E"/>
    <w:rsid w:val="003B1D74"/>
    <w:rsid w:val="003B2052"/>
    <w:rsid w:val="003B206D"/>
    <w:rsid w:val="003B25D7"/>
    <w:rsid w:val="003B2627"/>
    <w:rsid w:val="003B273D"/>
    <w:rsid w:val="003B2926"/>
    <w:rsid w:val="003B317D"/>
    <w:rsid w:val="003B325B"/>
    <w:rsid w:val="003B3A18"/>
    <w:rsid w:val="003B4535"/>
    <w:rsid w:val="003B4876"/>
    <w:rsid w:val="003B525C"/>
    <w:rsid w:val="003B52FC"/>
    <w:rsid w:val="003B5850"/>
    <w:rsid w:val="003B594E"/>
    <w:rsid w:val="003B5B81"/>
    <w:rsid w:val="003B5B8C"/>
    <w:rsid w:val="003B6292"/>
    <w:rsid w:val="003B6BE2"/>
    <w:rsid w:val="003B7AF7"/>
    <w:rsid w:val="003B7FEA"/>
    <w:rsid w:val="003C0158"/>
    <w:rsid w:val="003C0B2A"/>
    <w:rsid w:val="003C127C"/>
    <w:rsid w:val="003C15E5"/>
    <w:rsid w:val="003C1BF6"/>
    <w:rsid w:val="003C2382"/>
    <w:rsid w:val="003C24A3"/>
    <w:rsid w:val="003C26DD"/>
    <w:rsid w:val="003C2789"/>
    <w:rsid w:val="003C2819"/>
    <w:rsid w:val="003C33B2"/>
    <w:rsid w:val="003C3551"/>
    <w:rsid w:val="003C3806"/>
    <w:rsid w:val="003C3B12"/>
    <w:rsid w:val="003C3BBC"/>
    <w:rsid w:val="003C3D16"/>
    <w:rsid w:val="003C3FBA"/>
    <w:rsid w:val="003C429C"/>
    <w:rsid w:val="003C45A9"/>
    <w:rsid w:val="003C46B0"/>
    <w:rsid w:val="003C48CF"/>
    <w:rsid w:val="003C50E4"/>
    <w:rsid w:val="003C5310"/>
    <w:rsid w:val="003C5C90"/>
    <w:rsid w:val="003C5D46"/>
    <w:rsid w:val="003C650D"/>
    <w:rsid w:val="003C680B"/>
    <w:rsid w:val="003C6822"/>
    <w:rsid w:val="003C6C42"/>
    <w:rsid w:val="003C6FDD"/>
    <w:rsid w:val="003C71A9"/>
    <w:rsid w:val="003C7574"/>
    <w:rsid w:val="003C79F1"/>
    <w:rsid w:val="003D0037"/>
    <w:rsid w:val="003D010D"/>
    <w:rsid w:val="003D0590"/>
    <w:rsid w:val="003D12C2"/>
    <w:rsid w:val="003D1FBB"/>
    <w:rsid w:val="003D2177"/>
    <w:rsid w:val="003D224A"/>
    <w:rsid w:val="003D24B9"/>
    <w:rsid w:val="003D2974"/>
    <w:rsid w:val="003D303A"/>
    <w:rsid w:val="003D366F"/>
    <w:rsid w:val="003D3C97"/>
    <w:rsid w:val="003D44B7"/>
    <w:rsid w:val="003D49E3"/>
    <w:rsid w:val="003D50A3"/>
    <w:rsid w:val="003D5BF6"/>
    <w:rsid w:val="003D5D44"/>
    <w:rsid w:val="003D6793"/>
    <w:rsid w:val="003D6882"/>
    <w:rsid w:val="003D6A2E"/>
    <w:rsid w:val="003D6E1D"/>
    <w:rsid w:val="003D70B0"/>
    <w:rsid w:val="003D716A"/>
    <w:rsid w:val="003E0924"/>
    <w:rsid w:val="003E0A23"/>
    <w:rsid w:val="003E0F42"/>
    <w:rsid w:val="003E1AFC"/>
    <w:rsid w:val="003E20A1"/>
    <w:rsid w:val="003E20E7"/>
    <w:rsid w:val="003E2307"/>
    <w:rsid w:val="003E2581"/>
    <w:rsid w:val="003E262E"/>
    <w:rsid w:val="003E275F"/>
    <w:rsid w:val="003E29C5"/>
    <w:rsid w:val="003E2E2D"/>
    <w:rsid w:val="003E30BB"/>
    <w:rsid w:val="003E3195"/>
    <w:rsid w:val="003E31A7"/>
    <w:rsid w:val="003E3B90"/>
    <w:rsid w:val="003E3BB6"/>
    <w:rsid w:val="003E3F86"/>
    <w:rsid w:val="003E3FDD"/>
    <w:rsid w:val="003E41F6"/>
    <w:rsid w:val="003E44B0"/>
    <w:rsid w:val="003E48E7"/>
    <w:rsid w:val="003E4AA8"/>
    <w:rsid w:val="003E4B9B"/>
    <w:rsid w:val="003E53AD"/>
    <w:rsid w:val="003E5519"/>
    <w:rsid w:val="003E5B31"/>
    <w:rsid w:val="003E5CB6"/>
    <w:rsid w:val="003E5E1B"/>
    <w:rsid w:val="003E5EA8"/>
    <w:rsid w:val="003E6829"/>
    <w:rsid w:val="003E6E01"/>
    <w:rsid w:val="003E7250"/>
    <w:rsid w:val="003E7552"/>
    <w:rsid w:val="003E768E"/>
    <w:rsid w:val="003E7763"/>
    <w:rsid w:val="003E78AA"/>
    <w:rsid w:val="003E79A9"/>
    <w:rsid w:val="003E7A7D"/>
    <w:rsid w:val="003F004D"/>
    <w:rsid w:val="003F0317"/>
    <w:rsid w:val="003F0439"/>
    <w:rsid w:val="003F0F27"/>
    <w:rsid w:val="003F12DB"/>
    <w:rsid w:val="003F1CA7"/>
    <w:rsid w:val="003F1D1B"/>
    <w:rsid w:val="003F210A"/>
    <w:rsid w:val="003F2490"/>
    <w:rsid w:val="003F29A3"/>
    <w:rsid w:val="003F32EA"/>
    <w:rsid w:val="003F3516"/>
    <w:rsid w:val="003F3FB9"/>
    <w:rsid w:val="003F423F"/>
    <w:rsid w:val="003F5203"/>
    <w:rsid w:val="003F53BB"/>
    <w:rsid w:val="003F53BC"/>
    <w:rsid w:val="003F5444"/>
    <w:rsid w:val="003F5EB8"/>
    <w:rsid w:val="003F638B"/>
    <w:rsid w:val="003F6398"/>
    <w:rsid w:val="003F65D2"/>
    <w:rsid w:val="003F7075"/>
    <w:rsid w:val="003F7085"/>
    <w:rsid w:val="003F725E"/>
    <w:rsid w:val="003F7E04"/>
    <w:rsid w:val="00400683"/>
    <w:rsid w:val="004012DD"/>
    <w:rsid w:val="00401F1B"/>
    <w:rsid w:val="00401F87"/>
    <w:rsid w:val="00402491"/>
    <w:rsid w:val="0040254E"/>
    <w:rsid w:val="0040258F"/>
    <w:rsid w:val="00402798"/>
    <w:rsid w:val="004028CB"/>
    <w:rsid w:val="00402BC0"/>
    <w:rsid w:val="00403087"/>
    <w:rsid w:val="004031AE"/>
    <w:rsid w:val="00403286"/>
    <w:rsid w:val="00403985"/>
    <w:rsid w:val="00403D53"/>
    <w:rsid w:val="00403F9E"/>
    <w:rsid w:val="00404492"/>
    <w:rsid w:val="004048DF"/>
    <w:rsid w:val="00404A3E"/>
    <w:rsid w:val="004053EB"/>
    <w:rsid w:val="004054E0"/>
    <w:rsid w:val="00406007"/>
    <w:rsid w:val="00406297"/>
    <w:rsid w:val="00406F98"/>
    <w:rsid w:val="004070B3"/>
    <w:rsid w:val="00407195"/>
    <w:rsid w:val="0040731B"/>
    <w:rsid w:val="00407651"/>
    <w:rsid w:val="00407936"/>
    <w:rsid w:val="00407B8B"/>
    <w:rsid w:val="00407CA0"/>
    <w:rsid w:val="00410518"/>
    <w:rsid w:val="00410ACA"/>
    <w:rsid w:val="00410C46"/>
    <w:rsid w:val="004122AA"/>
    <w:rsid w:val="004123B2"/>
    <w:rsid w:val="004123FA"/>
    <w:rsid w:val="004126D2"/>
    <w:rsid w:val="004127D8"/>
    <w:rsid w:val="00412EC4"/>
    <w:rsid w:val="0041301F"/>
    <w:rsid w:val="00413303"/>
    <w:rsid w:val="0041337C"/>
    <w:rsid w:val="00413500"/>
    <w:rsid w:val="00413534"/>
    <w:rsid w:val="0041366D"/>
    <w:rsid w:val="00413701"/>
    <w:rsid w:val="00413A1F"/>
    <w:rsid w:val="00413D63"/>
    <w:rsid w:val="00414403"/>
    <w:rsid w:val="00414A96"/>
    <w:rsid w:val="00414DBF"/>
    <w:rsid w:val="00414EE8"/>
    <w:rsid w:val="00415666"/>
    <w:rsid w:val="00415C11"/>
    <w:rsid w:val="00415D94"/>
    <w:rsid w:val="00416149"/>
    <w:rsid w:val="00416B1A"/>
    <w:rsid w:val="00417092"/>
    <w:rsid w:val="0041755E"/>
    <w:rsid w:val="00417A71"/>
    <w:rsid w:val="00417A83"/>
    <w:rsid w:val="00417CC0"/>
    <w:rsid w:val="004201BE"/>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CF8"/>
    <w:rsid w:val="00427138"/>
    <w:rsid w:val="0042765A"/>
    <w:rsid w:val="00427744"/>
    <w:rsid w:val="00427D79"/>
    <w:rsid w:val="00430A85"/>
    <w:rsid w:val="00430B11"/>
    <w:rsid w:val="00430E0B"/>
    <w:rsid w:val="00431504"/>
    <w:rsid w:val="00431A88"/>
    <w:rsid w:val="00431EFF"/>
    <w:rsid w:val="004321D5"/>
    <w:rsid w:val="0043250F"/>
    <w:rsid w:val="00432A40"/>
    <w:rsid w:val="00432FC6"/>
    <w:rsid w:val="004330AB"/>
    <w:rsid w:val="00433E3D"/>
    <w:rsid w:val="0043450C"/>
    <w:rsid w:val="00434615"/>
    <w:rsid w:val="0043470D"/>
    <w:rsid w:val="00434913"/>
    <w:rsid w:val="00434A66"/>
    <w:rsid w:val="00434B56"/>
    <w:rsid w:val="004354DB"/>
    <w:rsid w:val="00436129"/>
    <w:rsid w:val="00437989"/>
    <w:rsid w:val="0044011D"/>
    <w:rsid w:val="00440274"/>
    <w:rsid w:val="0044065F"/>
    <w:rsid w:val="0044066E"/>
    <w:rsid w:val="004407BF"/>
    <w:rsid w:val="00440B51"/>
    <w:rsid w:val="00441860"/>
    <w:rsid w:val="00441A24"/>
    <w:rsid w:val="00441C8C"/>
    <w:rsid w:val="00442AB6"/>
    <w:rsid w:val="004430CA"/>
    <w:rsid w:val="00443277"/>
    <w:rsid w:val="00443582"/>
    <w:rsid w:val="00443BBF"/>
    <w:rsid w:val="00444457"/>
    <w:rsid w:val="00444759"/>
    <w:rsid w:val="0044491F"/>
    <w:rsid w:val="00444D08"/>
    <w:rsid w:val="00444DF4"/>
    <w:rsid w:val="004451BF"/>
    <w:rsid w:val="00445F1B"/>
    <w:rsid w:val="00446209"/>
    <w:rsid w:val="00446615"/>
    <w:rsid w:val="004467E8"/>
    <w:rsid w:val="00446857"/>
    <w:rsid w:val="004468EB"/>
    <w:rsid w:val="00446DDC"/>
    <w:rsid w:val="00446F19"/>
    <w:rsid w:val="0044709F"/>
    <w:rsid w:val="00447352"/>
    <w:rsid w:val="0044740D"/>
    <w:rsid w:val="0044765D"/>
    <w:rsid w:val="0045009B"/>
    <w:rsid w:val="0045017A"/>
    <w:rsid w:val="0045042D"/>
    <w:rsid w:val="0045085E"/>
    <w:rsid w:val="00451313"/>
    <w:rsid w:val="004513D2"/>
    <w:rsid w:val="00451AA6"/>
    <w:rsid w:val="00451C9E"/>
    <w:rsid w:val="0045249A"/>
    <w:rsid w:val="004525D8"/>
    <w:rsid w:val="00453926"/>
    <w:rsid w:val="004539B5"/>
    <w:rsid w:val="00453C1D"/>
    <w:rsid w:val="00453C2B"/>
    <w:rsid w:val="00453DCE"/>
    <w:rsid w:val="004541AB"/>
    <w:rsid w:val="004547A3"/>
    <w:rsid w:val="004548F1"/>
    <w:rsid w:val="00455190"/>
    <w:rsid w:val="0045521E"/>
    <w:rsid w:val="00455287"/>
    <w:rsid w:val="0045558C"/>
    <w:rsid w:val="00455B2E"/>
    <w:rsid w:val="00455FAE"/>
    <w:rsid w:val="004560C2"/>
    <w:rsid w:val="004564BD"/>
    <w:rsid w:val="004564EB"/>
    <w:rsid w:val="0045685D"/>
    <w:rsid w:val="00456A35"/>
    <w:rsid w:val="00456AC6"/>
    <w:rsid w:val="00456C64"/>
    <w:rsid w:val="00457054"/>
    <w:rsid w:val="0045795D"/>
    <w:rsid w:val="00457C17"/>
    <w:rsid w:val="00457C94"/>
    <w:rsid w:val="00457EBA"/>
    <w:rsid w:val="0046036E"/>
    <w:rsid w:val="0046045C"/>
    <w:rsid w:val="004607C9"/>
    <w:rsid w:val="00460BE4"/>
    <w:rsid w:val="004624B2"/>
    <w:rsid w:val="00462764"/>
    <w:rsid w:val="00462A02"/>
    <w:rsid w:val="00462AEF"/>
    <w:rsid w:val="00462C8A"/>
    <w:rsid w:val="00462E01"/>
    <w:rsid w:val="00462F0D"/>
    <w:rsid w:val="00463145"/>
    <w:rsid w:val="004637FD"/>
    <w:rsid w:val="00463B4F"/>
    <w:rsid w:val="00463D53"/>
    <w:rsid w:val="00463E88"/>
    <w:rsid w:val="00464014"/>
    <w:rsid w:val="00464612"/>
    <w:rsid w:val="00464656"/>
    <w:rsid w:val="00464E46"/>
    <w:rsid w:val="00464F62"/>
    <w:rsid w:val="004653CA"/>
    <w:rsid w:val="00465896"/>
    <w:rsid w:val="00465A48"/>
    <w:rsid w:val="00465D01"/>
    <w:rsid w:val="00465EEA"/>
    <w:rsid w:val="00466192"/>
    <w:rsid w:val="00466639"/>
    <w:rsid w:val="004666C6"/>
    <w:rsid w:val="00466811"/>
    <w:rsid w:val="004669A8"/>
    <w:rsid w:val="004674FA"/>
    <w:rsid w:val="0046775F"/>
    <w:rsid w:val="004679BA"/>
    <w:rsid w:val="00467AE6"/>
    <w:rsid w:val="00470368"/>
    <w:rsid w:val="004706BC"/>
    <w:rsid w:val="00470C75"/>
    <w:rsid w:val="00470F47"/>
    <w:rsid w:val="00471205"/>
    <w:rsid w:val="004712F4"/>
    <w:rsid w:val="004715F6"/>
    <w:rsid w:val="0047187A"/>
    <w:rsid w:val="00471CEA"/>
    <w:rsid w:val="00471D59"/>
    <w:rsid w:val="004721FE"/>
    <w:rsid w:val="00472283"/>
    <w:rsid w:val="004726BC"/>
    <w:rsid w:val="0047309F"/>
    <w:rsid w:val="00473167"/>
    <w:rsid w:val="004737AA"/>
    <w:rsid w:val="004737E1"/>
    <w:rsid w:val="00473A44"/>
    <w:rsid w:val="00473B1C"/>
    <w:rsid w:val="004749A7"/>
    <w:rsid w:val="00474D2A"/>
    <w:rsid w:val="0047511A"/>
    <w:rsid w:val="00475978"/>
    <w:rsid w:val="00475F36"/>
    <w:rsid w:val="00476424"/>
    <w:rsid w:val="004765F6"/>
    <w:rsid w:val="00476700"/>
    <w:rsid w:val="00476B37"/>
    <w:rsid w:val="00477FFC"/>
    <w:rsid w:val="00480096"/>
    <w:rsid w:val="00480BC1"/>
    <w:rsid w:val="0048132A"/>
    <w:rsid w:val="0048190D"/>
    <w:rsid w:val="004822E8"/>
    <w:rsid w:val="00482472"/>
    <w:rsid w:val="004829CE"/>
    <w:rsid w:val="00482A1D"/>
    <w:rsid w:val="00482E79"/>
    <w:rsid w:val="00483890"/>
    <w:rsid w:val="0048401A"/>
    <w:rsid w:val="004843F3"/>
    <w:rsid w:val="00484428"/>
    <w:rsid w:val="004848A1"/>
    <w:rsid w:val="00484AEA"/>
    <w:rsid w:val="00484B4C"/>
    <w:rsid w:val="00484C15"/>
    <w:rsid w:val="00484D60"/>
    <w:rsid w:val="004852DB"/>
    <w:rsid w:val="00485453"/>
    <w:rsid w:val="00485641"/>
    <w:rsid w:val="00485B9C"/>
    <w:rsid w:val="00485F1E"/>
    <w:rsid w:val="00486EDC"/>
    <w:rsid w:val="00486F90"/>
    <w:rsid w:val="004870B8"/>
    <w:rsid w:val="00487B91"/>
    <w:rsid w:val="00490393"/>
    <w:rsid w:val="00490958"/>
    <w:rsid w:val="00490B05"/>
    <w:rsid w:val="00491451"/>
    <w:rsid w:val="00491485"/>
    <w:rsid w:val="004916C5"/>
    <w:rsid w:val="00491BFB"/>
    <w:rsid w:val="00492733"/>
    <w:rsid w:val="00492DF7"/>
    <w:rsid w:val="00492EE3"/>
    <w:rsid w:val="00493141"/>
    <w:rsid w:val="0049337E"/>
    <w:rsid w:val="004937AD"/>
    <w:rsid w:val="00493D65"/>
    <w:rsid w:val="00493D8F"/>
    <w:rsid w:val="00493DE0"/>
    <w:rsid w:val="004942D1"/>
    <w:rsid w:val="00494501"/>
    <w:rsid w:val="00495187"/>
    <w:rsid w:val="00495478"/>
    <w:rsid w:val="00495BB5"/>
    <w:rsid w:val="00495E91"/>
    <w:rsid w:val="004967D7"/>
    <w:rsid w:val="00496C1D"/>
    <w:rsid w:val="00496D6C"/>
    <w:rsid w:val="00496E0D"/>
    <w:rsid w:val="00496ECD"/>
    <w:rsid w:val="004976BF"/>
    <w:rsid w:val="0049771F"/>
    <w:rsid w:val="00497891"/>
    <w:rsid w:val="00497981"/>
    <w:rsid w:val="00497AFF"/>
    <w:rsid w:val="00497E6D"/>
    <w:rsid w:val="004A03B7"/>
    <w:rsid w:val="004A0442"/>
    <w:rsid w:val="004A04F8"/>
    <w:rsid w:val="004A06D4"/>
    <w:rsid w:val="004A084A"/>
    <w:rsid w:val="004A0CA9"/>
    <w:rsid w:val="004A0F71"/>
    <w:rsid w:val="004A107F"/>
    <w:rsid w:val="004A17C1"/>
    <w:rsid w:val="004A191A"/>
    <w:rsid w:val="004A194F"/>
    <w:rsid w:val="004A1F84"/>
    <w:rsid w:val="004A23BB"/>
    <w:rsid w:val="004A2578"/>
    <w:rsid w:val="004A2D5B"/>
    <w:rsid w:val="004A2E10"/>
    <w:rsid w:val="004A2FD9"/>
    <w:rsid w:val="004A374A"/>
    <w:rsid w:val="004A392E"/>
    <w:rsid w:val="004A43DC"/>
    <w:rsid w:val="004A551B"/>
    <w:rsid w:val="004A5748"/>
    <w:rsid w:val="004A5A9C"/>
    <w:rsid w:val="004A630B"/>
    <w:rsid w:val="004A67E3"/>
    <w:rsid w:val="004A711A"/>
    <w:rsid w:val="004A724A"/>
    <w:rsid w:val="004A7741"/>
    <w:rsid w:val="004A7766"/>
    <w:rsid w:val="004A77AA"/>
    <w:rsid w:val="004A7A56"/>
    <w:rsid w:val="004A7C39"/>
    <w:rsid w:val="004A7C5E"/>
    <w:rsid w:val="004A7CD9"/>
    <w:rsid w:val="004A7D72"/>
    <w:rsid w:val="004B07AB"/>
    <w:rsid w:val="004B0AE5"/>
    <w:rsid w:val="004B11D9"/>
    <w:rsid w:val="004B18D2"/>
    <w:rsid w:val="004B26AA"/>
    <w:rsid w:val="004B270F"/>
    <w:rsid w:val="004B2726"/>
    <w:rsid w:val="004B28C3"/>
    <w:rsid w:val="004B2E0A"/>
    <w:rsid w:val="004B2E96"/>
    <w:rsid w:val="004B2EE5"/>
    <w:rsid w:val="004B32DE"/>
    <w:rsid w:val="004B3538"/>
    <w:rsid w:val="004B3567"/>
    <w:rsid w:val="004B3CB9"/>
    <w:rsid w:val="004B3EA7"/>
    <w:rsid w:val="004B4670"/>
    <w:rsid w:val="004B4D04"/>
    <w:rsid w:val="004B4E99"/>
    <w:rsid w:val="004B4EDD"/>
    <w:rsid w:val="004B4F64"/>
    <w:rsid w:val="004B4FE4"/>
    <w:rsid w:val="004B50F3"/>
    <w:rsid w:val="004B51BB"/>
    <w:rsid w:val="004B5FCB"/>
    <w:rsid w:val="004B66C9"/>
    <w:rsid w:val="004B73D4"/>
    <w:rsid w:val="004B74EF"/>
    <w:rsid w:val="004B757E"/>
    <w:rsid w:val="004B7689"/>
    <w:rsid w:val="004B77BA"/>
    <w:rsid w:val="004C016B"/>
    <w:rsid w:val="004C030C"/>
    <w:rsid w:val="004C0626"/>
    <w:rsid w:val="004C09F3"/>
    <w:rsid w:val="004C0A2C"/>
    <w:rsid w:val="004C0B19"/>
    <w:rsid w:val="004C0BA8"/>
    <w:rsid w:val="004C0BC7"/>
    <w:rsid w:val="004C0F73"/>
    <w:rsid w:val="004C148B"/>
    <w:rsid w:val="004C180F"/>
    <w:rsid w:val="004C1C54"/>
    <w:rsid w:val="004C1C7D"/>
    <w:rsid w:val="004C1CC9"/>
    <w:rsid w:val="004C2187"/>
    <w:rsid w:val="004C2B8B"/>
    <w:rsid w:val="004C2DE8"/>
    <w:rsid w:val="004C36E2"/>
    <w:rsid w:val="004C382E"/>
    <w:rsid w:val="004C4334"/>
    <w:rsid w:val="004C43DE"/>
    <w:rsid w:val="004C4854"/>
    <w:rsid w:val="004C4F73"/>
    <w:rsid w:val="004C5228"/>
    <w:rsid w:val="004C55DF"/>
    <w:rsid w:val="004C59E4"/>
    <w:rsid w:val="004C5DB1"/>
    <w:rsid w:val="004C6554"/>
    <w:rsid w:val="004C6CFB"/>
    <w:rsid w:val="004C7589"/>
    <w:rsid w:val="004C7605"/>
    <w:rsid w:val="004C7659"/>
    <w:rsid w:val="004C7750"/>
    <w:rsid w:val="004C7B10"/>
    <w:rsid w:val="004C7C8E"/>
    <w:rsid w:val="004D04EA"/>
    <w:rsid w:val="004D085E"/>
    <w:rsid w:val="004D0AA4"/>
    <w:rsid w:val="004D0CD1"/>
    <w:rsid w:val="004D0E9E"/>
    <w:rsid w:val="004D0F7A"/>
    <w:rsid w:val="004D12BA"/>
    <w:rsid w:val="004D15E7"/>
    <w:rsid w:val="004D18F4"/>
    <w:rsid w:val="004D2160"/>
    <w:rsid w:val="004D2936"/>
    <w:rsid w:val="004D2A0C"/>
    <w:rsid w:val="004D2E5A"/>
    <w:rsid w:val="004D2F0C"/>
    <w:rsid w:val="004D328D"/>
    <w:rsid w:val="004D423B"/>
    <w:rsid w:val="004D4C5A"/>
    <w:rsid w:val="004D5000"/>
    <w:rsid w:val="004D543D"/>
    <w:rsid w:val="004D5467"/>
    <w:rsid w:val="004D561B"/>
    <w:rsid w:val="004D572D"/>
    <w:rsid w:val="004D58CB"/>
    <w:rsid w:val="004D58D8"/>
    <w:rsid w:val="004D5BF7"/>
    <w:rsid w:val="004D5CC1"/>
    <w:rsid w:val="004D61A3"/>
    <w:rsid w:val="004D62C6"/>
    <w:rsid w:val="004D68E8"/>
    <w:rsid w:val="004D69B3"/>
    <w:rsid w:val="004D6C8F"/>
    <w:rsid w:val="004D770C"/>
    <w:rsid w:val="004D7758"/>
    <w:rsid w:val="004D78CB"/>
    <w:rsid w:val="004E0570"/>
    <w:rsid w:val="004E07D8"/>
    <w:rsid w:val="004E0DDD"/>
    <w:rsid w:val="004E151D"/>
    <w:rsid w:val="004E1732"/>
    <w:rsid w:val="004E196D"/>
    <w:rsid w:val="004E29D0"/>
    <w:rsid w:val="004E2BFA"/>
    <w:rsid w:val="004E2C89"/>
    <w:rsid w:val="004E2CB6"/>
    <w:rsid w:val="004E3140"/>
    <w:rsid w:val="004E3A13"/>
    <w:rsid w:val="004E3AD0"/>
    <w:rsid w:val="004E3D59"/>
    <w:rsid w:val="004E4054"/>
    <w:rsid w:val="004E459B"/>
    <w:rsid w:val="004E4631"/>
    <w:rsid w:val="004E4DBD"/>
    <w:rsid w:val="004E4DED"/>
    <w:rsid w:val="004E50F0"/>
    <w:rsid w:val="004E51EA"/>
    <w:rsid w:val="004E54EC"/>
    <w:rsid w:val="004E5C53"/>
    <w:rsid w:val="004E5ECF"/>
    <w:rsid w:val="004E7139"/>
    <w:rsid w:val="004E7155"/>
    <w:rsid w:val="004E7642"/>
    <w:rsid w:val="004E76D1"/>
    <w:rsid w:val="004E7B36"/>
    <w:rsid w:val="004E7B9F"/>
    <w:rsid w:val="004F097B"/>
    <w:rsid w:val="004F0CC8"/>
    <w:rsid w:val="004F1168"/>
    <w:rsid w:val="004F167A"/>
    <w:rsid w:val="004F284D"/>
    <w:rsid w:val="004F2ABA"/>
    <w:rsid w:val="004F2ECD"/>
    <w:rsid w:val="004F343F"/>
    <w:rsid w:val="004F3672"/>
    <w:rsid w:val="004F3F5C"/>
    <w:rsid w:val="004F438E"/>
    <w:rsid w:val="004F4428"/>
    <w:rsid w:val="004F463E"/>
    <w:rsid w:val="004F46A8"/>
    <w:rsid w:val="004F48E0"/>
    <w:rsid w:val="004F4A4E"/>
    <w:rsid w:val="004F50F2"/>
    <w:rsid w:val="004F5413"/>
    <w:rsid w:val="004F5913"/>
    <w:rsid w:val="004F5A17"/>
    <w:rsid w:val="004F5AED"/>
    <w:rsid w:val="004F61D5"/>
    <w:rsid w:val="004F64B5"/>
    <w:rsid w:val="004F66D5"/>
    <w:rsid w:val="004F69A1"/>
    <w:rsid w:val="004F6BC0"/>
    <w:rsid w:val="004F6CDB"/>
    <w:rsid w:val="0050068E"/>
    <w:rsid w:val="00500B00"/>
    <w:rsid w:val="005019CA"/>
    <w:rsid w:val="00501FD1"/>
    <w:rsid w:val="00502DE4"/>
    <w:rsid w:val="00503576"/>
    <w:rsid w:val="0050421D"/>
    <w:rsid w:val="00504803"/>
    <w:rsid w:val="00504878"/>
    <w:rsid w:val="00504893"/>
    <w:rsid w:val="005049D6"/>
    <w:rsid w:val="00504B66"/>
    <w:rsid w:val="00504BBC"/>
    <w:rsid w:val="00505038"/>
    <w:rsid w:val="00505782"/>
    <w:rsid w:val="00505C44"/>
    <w:rsid w:val="00505D39"/>
    <w:rsid w:val="00505DC9"/>
    <w:rsid w:val="005061FB"/>
    <w:rsid w:val="00506351"/>
    <w:rsid w:val="005064EF"/>
    <w:rsid w:val="005064F4"/>
    <w:rsid w:val="00506803"/>
    <w:rsid w:val="00506F10"/>
    <w:rsid w:val="00506F23"/>
    <w:rsid w:val="00507DA1"/>
    <w:rsid w:val="005105CC"/>
    <w:rsid w:val="00510A41"/>
    <w:rsid w:val="00510E39"/>
    <w:rsid w:val="005111A5"/>
    <w:rsid w:val="00511207"/>
    <w:rsid w:val="00511C45"/>
    <w:rsid w:val="00511D6E"/>
    <w:rsid w:val="00512056"/>
    <w:rsid w:val="00512DA4"/>
    <w:rsid w:val="00512E97"/>
    <w:rsid w:val="0051319F"/>
    <w:rsid w:val="0051325C"/>
    <w:rsid w:val="00513522"/>
    <w:rsid w:val="00513871"/>
    <w:rsid w:val="00513C01"/>
    <w:rsid w:val="00513CEB"/>
    <w:rsid w:val="005142A2"/>
    <w:rsid w:val="005145BA"/>
    <w:rsid w:val="00514762"/>
    <w:rsid w:val="00514971"/>
    <w:rsid w:val="00514B2E"/>
    <w:rsid w:val="0051522A"/>
    <w:rsid w:val="005152A9"/>
    <w:rsid w:val="00515E81"/>
    <w:rsid w:val="00515F55"/>
    <w:rsid w:val="005164C5"/>
    <w:rsid w:val="00516770"/>
    <w:rsid w:val="00516DE4"/>
    <w:rsid w:val="005172C7"/>
    <w:rsid w:val="00517353"/>
    <w:rsid w:val="00517A8E"/>
    <w:rsid w:val="00517E1A"/>
    <w:rsid w:val="00517F66"/>
    <w:rsid w:val="00517FEB"/>
    <w:rsid w:val="005203CB"/>
    <w:rsid w:val="00520AF7"/>
    <w:rsid w:val="0052106E"/>
    <w:rsid w:val="00521111"/>
    <w:rsid w:val="005216DD"/>
    <w:rsid w:val="00521C88"/>
    <w:rsid w:val="00521CF6"/>
    <w:rsid w:val="00521D4B"/>
    <w:rsid w:val="00521DAC"/>
    <w:rsid w:val="00522090"/>
    <w:rsid w:val="005224BB"/>
    <w:rsid w:val="00522DA5"/>
    <w:rsid w:val="00522EDA"/>
    <w:rsid w:val="00522F17"/>
    <w:rsid w:val="00523164"/>
    <w:rsid w:val="00523B05"/>
    <w:rsid w:val="00523D9B"/>
    <w:rsid w:val="0052418A"/>
    <w:rsid w:val="00524734"/>
    <w:rsid w:val="00524C59"/>
    <w:rsid w:val="00524D4A"/>
    <w:rsid w:val="00524FA8"/>
    <w:rsid w:val="00525963"/>
    <w:rsid w:val="0052653D"/>
    <w:rsid w:val="00526763"/>
    <w:rsid w:val="005268F1"/>
    <w:rsid w:val="00526A5D"/>
    <w:rsid w:val="00527203"/>
    <w:rsid w:val="00527371"/>
    <w:rsid w:val="00527585"/>
    <w:rsid w:val="00527D36"/>
    <w:rsid w:val="00530122"/>
    <w:rsid w:val="00530417"/>
    <w:rsid w:val="005307AC"/>
    <w:rsid w:val="00530800"/>
    <w:rsid w:val="00530FCF"/>
    <w:rsid w:val="005313D8"/>
    <w:rsid w:val="00531B09"/>
    <w:rsid w:val="00531C9E"/>
    <w:rsid w:val="00531F9B"/>
    <w:rsid w:val="00533368"/>
    <w:rsid w:val="00533ABC"/>
    <w:rsid w:val="00533CCD"/>
    <w:rsid w:val="00534167"/>
    <w:rsid w:val="00534713"/>
    <w:rsid w:val="00534773"/>
    <w:rsid w:val="00534E4D"/>
    <w:rsid w:val="005350DA"/>
    <w:rsid w:val="005358F8"/>
    <w:rsid w:val="00535BB0"/>
    <w:rsid w:val="005364B2"/>
    <w:rsid w:val="0053661C"/>
    <w:rsid w:val="005369D5"/>
    <w:rsid w:val="00537237"/>
    <w:rsid w:val="005373D9"/>
    <w:rsid w:val="00537C6D"/>
    <w:rsid w:val="00537FAC"/>
    <w:rsid w:val="00540018"/>
    <w:rsid w:val="00540866"/>
    <w:rsid w:val="00540A4C"/>
    <w:rsid w:val="00540EFB"/>
    <w:rsid w:val="00541295"/>
    <w:rsid w:val="00542112"/>
    <w:rsid w:val="005427A6"/>
    <w:rsid w:val="0054296F"/>
    <w:rsid w:val="00542A19"/>
    <w:rsid w:val="00543001"/>
    <w:rsid w:val="005433AD"/>
    <w:rsid w:val="00543460"/>
    <w:rsid w:val="00543AF4"/>
    <w:rsid w:val="005441E5"/>
    <w:rsid w:val="00544465"/>
    <w:rsid w:val="005444BC"/>
    <w:rsid w:val="00544836"/>
    <w:rsid w:val="00544CA1"/>
    <w:rsid w:val="005452AE"/>
    <w:rsid w:val="00545561"/>
    <w:rsid w:val="00545A6C"/>
    <w:rsid w:val="00545FD2"/>
    <w:rsid w:val="00546469"/>
    <w:rsid w:val="005468DB"/>
    <w:rsid w:val="00546F6B"/>
    <w:rsid w:val="00547B8F"/>
    <w:rsid w:val="00547D53"/>
    <w:rsid w:val="00547F3F"/>
    <w:rsid w:val="005506ED"/>
    <w:rsid w:val="00550B29"/>
    <w:rsid w:val="00550E3C"/>
    <w:rsid w:val="0055123E"/>
    <w:rsid w:val="005513A8"/>
    <w:rsid w:val="00551EB5"/>
    <w:rsid w:val="0055208D"/>
    <w:rsid w:val="0055295D"/>
    <w:rsid w:val="00552DE8"/>
    <w:rsid w:val="00552DEE"/>
    <w:rsid w:val="005532C8"/>
    <w:rsid w:val="005536E1"/>
    <w:rsid w:val="00553A2F"/>
    <w:rsid w:val="00553B4F"/>
    <w:rsid w:val="0055410A"/>
    <w:rsid w:val="005545C6"/>
    <w:rsid w:val="005549F8"/>
    <w:rsid w:val="00554CC7"/>
    <w:rsid w:val="00554DFF"/>
    <w:rsid w:val="0055540E"/>
    <w:rsid w:val="005556BF"/>
    <w:rsid w:val="0055623F"/>
    <w:rsid w:val="00556452"/>
    <w:rsid w:val="005567A0"/>
    <w:rsid w:val="00556914"/>
    <w:rsid w:val="00556D2F"/>
    <w:rsid w:val="00557165"/>
    <w:rsid w:val="005571BD"/>
    <w:rsid w:val="005574B3"/>
    <w:rsid w:val="0055756B"/>
    <w:rsid w:val="005578DA"/>
    <w:rsid w:val="005579B9"/>
    <w:rsid w:val="00557C7E"/>
    <w:rsid w:val="00557CEE"/>
    <w:rsid w:val="0056066E"/>
    <w:rsid w:val="00560CE3"/>
    <w:rsid w:val="00560D71"/>
    <w:rsid w:val="005610B6"/>
    <w:rsid w:val="00561F45"/>
    <w:rsid w:val="00562227"/>
    <w:rsid w:val="0056270C"/>
    <w:rsid w:val="005630B5"/>
    <w:rsid w:val="005633B3"/>
    <w:rsid w:val="00564483"/>
    <w:rsid w:val="0056459F"/>
    <w:rsid w:val="005649C1"/>
    <w:rsid w:val="00564B8A"/>
    <w:rsid w:val="00564DA3"/>
    <w:rsid w:val="0056516A"/>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8EF"/>
    <w:rsid w:val="0057161C"/>
    <w:rsid w:val="0057181F"/>
    <w:rsid w:val="00571C67"/>
    <w:rsid w:val="00571DAE"/>
    <w:rsid w:val="00571F1B"/>
    <w:rsid w:val="00571F67"/>
    <w:rsid w:val="00572089"/>
    <w:rsid w:val="005721D7"/>
    <w:rsid w:val="0057270D"/>
    <w:rsid w:val="00572CEA"/>
    <w:rsid w:val="0057390C"/>
    <w:rsid w:val="00573A49"/>
    <w:rsid w:val="00573EBA"/>
    <w:rsid w:val="00574364"/>
    <w:rsid w:val="00574B4D"/>
    <w:rsid w:val="00574D2A"/>
    <w:rsid w:val="00574E68"/>
    <w:rsid w:val="005751E2"/>
    <w:rsid w:val="0057583C"/>
    <w:rsid w:val="00575861"/>
    <w:rsid w:val="00576217"/>
    <w:rsid w:val="005766ED"/>
    <w:rsid w:val="00577728"/>
    <w:rsid w:val="00577CBC"/>
    <w:rsid w:val="0058011F"/>
    <w:rsid w:val="005802FE"/>
    <w:rsid w:val="00580B2F"/>
    <w:rsid w:val="00580F2B"/>
    <w:rsid w:val="005813EB"/>
    <w:rsid w:val="0058144E"/>
    <w:rsid w:val="00581969"/>
    <w:rsid w:val="00581998"/>
    <w:rsid w:val="00582266"/>
    <w:rsid w:val="0058236A"/>
    <w:rsid w:val="005829A6"/>
    <w:rsid w:val="005833F6"/>
    <w:rsid w:val="00583467"/>
    <w:rsid w:val="00583EF5"/>
    <w:rsid w:val="0058413D"/>
    <w:rsid w:val="00584AE7"/>
    <w:rsid w:val="00584C88"/>
    <w:rsid w:val="00584CEF"/>
    <w:rsid w:val="00584F64"/>
    <w:rsid w:val="00585176"/>
    <w:rsid w:val="00585348"/>
    <w:rsid w:val="005853E8"/>
    <w:rsid w:val="00585586"/>
    <w:rsid w:val="00585B9E"/>
    <w:rsid w:val="005864C9"/>
    <w:rsid w:val="005866EA"/>
    <w:rsid w:val="00586888"/>
    <w:rsid w:val="00586A65"/>
    <w:rsid w:val="00586D06"/>
    <w:rsid w:val="005870E2"/>
    <w:rsid w:val="00587568"/>
    <w:rsid w:val="0058785D"/>
    <w:rsid w:val="005879AC"/>
    <w:rsid w:val="00587D3E"/>
    <w:rsid w:val="00587D9D"/>
    <w:rsid w:val="00587DAA"/>
    <w:rsid w:val="005900CA"/>
    <w:rsid w:val="005906B0"/>
    <w:rsid w:val="005908FA"/>
    <w:rsid w:val="00591266"/>
    <w:rsid w:val="0059189C"/>
    <w:rsid w:val="00591E2A"/>
    <w:rsid w:val="005921F7"/>
    <w:rsid w:val="00592C9F"/>
    <w:rsid w:val="00594369"/>
    <w:rsid w:val="0059437B"/>
    <w:rsid w:val="00594ADB"/>
    <w:rsid w:val="00594F43"/>
    <w:rsid w:val="00595047"/>
    <w:rsid w:val="00595D9C"/>
    <w:rsid w:val="00596214"/>
    <w:rsid w:val="00596A0D"/>
    <w:rsid w:val="00596CD7"/>
    <w:rsid w:val="00596CF1"/>
    <w:rsid w:val="00596DD7"/>
    <w:rsid w:val="005970B6"/>
    <w:rsid w:val="00597110"/>
    <w:rsid w:val="00597829"/>
    <w:rsid w:val="005979E7"/>
    <w:rsid w:val="00597FB9"/>
    <w:rsid w:val="005A009F"/>
    <w:rsid w:val="005A023B"/>
    <w:rsid w:val="005A0261"/>
    <w:rsid w:val="005A052F"/>
    <w:rsid w:val="005A0743"/>
    <w:rsid w:val="005A0988"/>
    <w:rsid w:val="005A11E7"/>
    <w:rsid w:val="005A19B9"/>
    <w:rsid w:val="005A26D8"/>
    <w:rsid w:val="005A2BB9"/>
    <w:rsid w:val="005A335A"/>
    <w:rsid w:val="005A3629"/>
    <w:rsid w:val="005A3704"/>
    <w:rsid w:val="005A3D7C"/>
    <w:rsid w:val="005A41DA"/>
    <w:rsid w:val="005A4490"/>
    <w:rsid w:val="005A550B"/>
    <w:rsid w:val="005A5516"/>
    <w:rsid w:val="005A552E"/>
    <w:rsid w:val="005A55C7"/>
    <w:rsid w:val="005A55D5"/>
    <w:rsid w:val="005A5641"/>
    <w:rsid w:val="005A5656"/>
    <w:rsid w:val="005A56E6"/>
    <w:rsid w:val="005A6050"/>
    <w:rsid w:val="005A60F0"/>
    <w:rsid w:val="005A60FE"/>
    <w:rsid w:val="005A6788"/>
    <w:rsid w:val="005A6891"/>
    <w:rsid w:val="005A6A11"/>
    <w:rsid w:val="005A6A66"/>
    <w:rsid w:val="005A6C88"/>
    <w:rsid w:val="005A71BB"/>
    <w:rsid w:val="005A7405"/>
    <w:rsid w:val="005A75D1"/>
    <w:rsid w:val="005A7748"/>
    <w:rsid w:val="005A78B3"/>
    <w:rsid w:val="005A79B3"/>
    <w:rsid w:val="005B09F7"/>
    <w:rsid w:val="005B137C"/>
    <w:rsid w:val="005B15D5"/>
    <w:rsid w:val="005B22FD"/>
    <w:rsid w:val="005B281C"/>
    <w:rsid w:val="005B316A"/>
    <w:rsid w:val="005B31A4"/>
    <w:rsid w:val="005B34A6"/>
    <w:rsid w:val="005B354F"/>
    <w:rsid w:val="005B3890"/>
    <w:rsid w:val="005B3A0C"/>
    <w:rsid w:val="005B3A76"/>
    <w:rsid w:val="005B3BDF"/>
    <w:rsid w:val="005B502B"/>
    <w:rsid w:val="005B542A"/>
    <w:rsid w:val="005B544D"/>
    <w:rsid w:val="005B551C"/>
    <w:rsid w:val="005B5B96"/>
    <w:rsid w:val="005B5E9B"/>
    <w:rsid w:val="005B5F87"/>
    <w:rsid w:val="005B60A8"/>
    <w:rsid w:val="005B6AD5"/>
    <w:rsid w:val="005B6E03"/>
    <w:rsid w:val="005B76EC"/>
    <w:rsid w:val="005B7AA4"/>
    <w:rsid w:val="005C0997"/>
    <w:rsid w:val="005C179D"/>
    <w:rsid w:val="005C1840"/>
    <w:rsid w:val="005C19C7"/>
    <w:rsid w:val="005C1BDB"/>
    <w:rsid w:val="005C1C81"/>
    <w:rsid w:val="005C1F66"/>
    <w:rsid w:val="005C2396"/>
    <w:rsid w:val="005C2443"/>
    <w:rsid w:val="005C25AD"/>
    <w:rsid w:val="005C2690"/>
    <w:rsid w:val="005C2833"/>
    <w:rsid w:val="005C2B5E"/>
    <w:rsid w:val="005C2E39"/>
    <w:rsid w:val="005C3004"/>
    <w:rsid w:val="005C38A5"/>
    <w:rsid w:val="005C38EF"/>
    <w:rsid w:val="005C4145"/>
    <w:rsid w:val="005C41FA"/>
    <w:rsid w:val="005C54C8"/>
    <w:rsid w:val="005C56DD"/>
    <w:rsid w:val="005C574C"/>
    <w:rsid w:val="005C58A0"/>
    <w:rsid w:val="005C60CF"/>
    <w:rsid w:val="005C6F7D"/>
    <w:rsid w:val="005C74BF"/>
    <w:rsid w:val="005C74C6"/>
    <w:rsid w:val="005C762D"/>
    <w:rsid w:val="005D07F8"/>
    <w:rsid w:val="005D0C09"/>
    <w:rsid w:val="005D1B59"/>
    <w:rsid w:val="005D1CB1"/>
    <w:rsid w:val="005D20D0"/>
    <w:rsid w:val="005D20DC"/>
    <w:rsid w:val="005D23A8"/>
    <w:rsid w:val="005D25F7"/>
    <w:rsid w:val="005D2B8C"/>
    <w:rsid w:val="005D2F7A"/>
    <w:rsid w:val="005D33BD"/>
    <w:rsid w:val="005D372D"/>
    <w:rsid w:val="005D37AA"/>
    <w:rsid w:val="005D38C6"/>
    <w:rsid w:val="005D4AAD"/>
    <w:rsid w:val="005D4C25"/>
    <w:rsid w:val="005D5366"/>
    <w:rsid w:val="005D6C3E"/>
    <w:rsid w:val="005E104B"/>
    <w:rsid w:val="005E1383"/>
    <w:rsid w:val="005E14AF"/>
    <w:rsid w:val="005E14FF"/>
    <w:rsid w:val="005E15A1"/>
    <w:rsid w:val="005E1611"/>
    <w:rsid w:val="005E1738"/>
    <w:rsid w:val="005E1E0F"/>
    <w:rsid w:val="005E1FDF"/>
    <w:rsid w:val="005E253F"/>
    <w:rsid w:val="005E277B"/>
    <w:rsid w:val="005E3102"/>
    <w:rsid w:val="005E3141"/>
    <w:rsid w:val="005E3531"/>
    <w:rsid w:val="005E37DF"/>
    <w:rsid w:val="005E381E"/>
    <w:rsid w:val="005E387C"/>
    <w:rsid w:val="005E3A75"/>
    <w:rsid w:val="005E3C4C"/>
    <w:rsid w:val="005E3C5E"/>
    <w:rsid w:val="005E3EE0"/>
    <w:rsid w:val="005E442D"/>
    <w:rsid w:val="005E5669"/>
    <w:rsid w:val="005E6744"/>
    <w:rsid w:val="005E6747"/>
    <w:rsid w:val="005E7083"/>
    <w:rsid w:val="005F08B8"/>
    <w:rsid w:val="005F09C8"/>
    <w:rsid w:val="005F0C28"/>
    <w:rsid w:val="005F1F65"/>
    <w:rsid w:val="005F237D"/>
    <w:rsid w:val="005F29AA"/>
    <w:rsid w:val="005F29DF"/>
    <w:rsid w:val="005F2B3E"/>
    <w:rsid w:val="005F2C69"/>
    <w:rsid w:val="005F3006"/>
    <w:rsid w:val="005F3A58"/>
    <w:rsid w:val="005F3A83"/>
    <w:rsid w:val="005F3E94"/>
    <w:rsid w:val="005F4134"/>
    <w:rsid w:val="005F430F"/>
    <w:rsid w:val="005F4377"/>
    <w:rsid w:val="005F43A7"/>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9BC"/>
    <w:rsid w:val="00601C23"/>
    <w:rsid w:val="00602166"/>
    <w:rsid w:val="00602439"/>
    <w:rsid w:val="006026C1"/>
    <w:rsid w:val="006026CE"/>
    <w:rsid w:val="0060332E"/>
    <w:rsid w:val="006037AB"/>
    <w:rsid w:val="00603F97"/>
    <w:rsid w:val="006040CC"/>
    <w:rsid w:val="00604E27"/>
    <w:rsid w:val="0060508B"/>
    <w:rsid w:val="006054CD"/>
    <w:rsid w:val="0060552B"/>
    <w:rsid w:val="006057EA"/>
    <w:rsid w:val="00605DBE"/>
    <w:rsid w:val="00606074"/>
    <w:rsid w:val="006065FC"/>
    <w:rsid w:val="006068B4"/>
    <w:rsid w:val="00606F72"/>
    <w:rsid w:val="006076B7"/>
    <w:rsid w:val="006078D2"/>
    <w:rsid w:val="00607C93"/>
    <w:rsid w:val="00607D79"/>
    <w:rsid w:val="00607F92"/>
    <w:rsid w:val="006106A6"/>
    <w:rsid w:val="00610AB6"/>
    <w:rsid w:val="00610E15"/>
    <w:rsid w:val="00611134"/>
    <w:rsid w:val="006112BE"/>
    <w:rsid w:val="00611899"/>
    <w:rsid w:val="00612812"/>
    <w:rsid w:val="00612D99"/>
    <w:rsid w:val="006130B5"/>
    <w:rsid w:val="006136B7"/>
    <w:rsid w:val="00613CAB"/>
    <w:rsid w:val="00613DEA"/>
    <w:rsid w:val="006148AE"/>
    <w:rsid w:val="00614D76"/>
    <w:rsid w:val="00615130"/>
    <w:rsid w:val="0061548E"/>
    <w:rsid w:val="0061549D"/>
    <w:rsid w:val="0061550A"/>
    <w:rsid w:val="00615842"/>
    <w:rsid w:val="00615FD8"/>
    <w:rsid w:val="006165E4"/>
    <w:rsid w:val="00616B2C"/>
    <w:rsid w:val="00616EEF"/>
    <w:rsid w:val="006171B2"/>
    <w:rsid w:val="0061746B"/>
    <w:rsid w:val="00617E08"/>
    <w:rsid w:val="006201A7"/>
    <w:rsid w:val="006208AD"/>
    <w:rsid w:val="00620D56"/>
    <w:rsid w:val="00620F63"/>
    <w:rsid w:val="006214EE"/>
    <w:rsid w:val="006215DA"/>
    <w:rsid w:val="006220DB"/>
    <w:rsid w:val="0062229A"/>
    <w:rsid w:val="006222A3"/>
    <w:rsid w:val="006227BC"/>
    <w:rsid w:val="00622A4F"/>
    <w:rsid w:val="00622E0C"/>
    <w:rsid w:val="0062300E"/>
    <w:rsid w:val="0062370C"/>
    <w:rsid w:val="0062390F"/>
    <w:rsid w:val="0062436C"/>
    <w:rsid w:val="006248C9"/>
    <w:rsid w:val="00624B76"/>
    <w:rsid w:val="00624E03"/>
    <w:rsid w:val="006253C2"/>
    <w:rsid w:val="006254DA"/>
    <w:rsid w:val="0062551A"/>
    <w:rsid w:val="0062596C"/>
    <w:rsid w:val="00625990"/>
    <w:rsid w:val="006259CD"/>
    <w:rsid w:val="00625A6A"/>
    <w:rsid w:val="00626A51"/>
    <w:rsid w:val="00626D37"/>
    <w:rsid w:val="00627928"/>
    <w:rsid w:val="00627C29"/>
    <w:rsid w:val="00627C87"/>
    <w:rsid w:val="00630CD4"/>
    <w:rsid w:val="00630F37"/>
    <w:rsid w:val="006311BC"/>
    <w:rsid w:val="006313FE"/>
    <w:rsid w:val="00631BE6"/>
    <w:rsid w:val="006335B9"/>
    <w:rsid w:val="0063364A"/>
    <w:rsid w:val="006336BB"/>
    <w:rsid w:val="0063388F"/>
    <w:rsid w:val="00633B45"/>
    <w:rsid w:val="00633D6C"/>
    <w:rsid w:val="00633D98"/>
    <w:rsid w:val="00634233"/>
    <w:rsid w:val="00634238"/>
    <w:rsid w:val="006345D9"/>
    <w:rsid w:val="0063470E"/>
    <w:rsid w:val="00635028"/>
    <w:rsid w:val="00635141"/>
    <w:rsid w:val="006351B8"/>
    <w:rsid w:val="00635286"/>
    <w:rsid w:val="0063588D"/>
    <w:rsid w:val="00635D25"/>
    <w:rsid w:val="006361B6"/>
    <w:rsid w:val="00636B40"/>
    <w:rsid w:val="0063709A"/>
    <w:rsid w:val="00637307"/>
    <w:rsid w:val="00637921"/>
    <w:rsid w:val="00637A8D"/>
    <w:rsid w:val="00637B31"/>
    <w:rsid w:val="006400AE"/>
    <w:rsid w:val="00640330"/>
    <w:rsid w:val="006403D7"/>
    <w:rsid w:val="00640932"/>
    <w:rsid w:val="00641582"/>
    <w:rsid w:val="00642612"/>
    <w:rsid w:val="00642C86"/>
    <w:rsid w:val="00643525"/>
    <w:rsid w:val="006435D9"/>
    <w:rsid w:val="00644500"/>
    <w:rsid w:val="0064475E"/>
    <w:rsid w:val="00644FEB"/>
    <w:rsid w:val="006451D4"/>
    <w:rsid w:val="00645A1B"/>
    <w:rsid w:val="00645CDE"/>
    <w:rsid w:val="00645DEC"/>
    <w:rsid w:val="00645F9C"/>
    <w:rsid w:val="00646245"/>
    <w:rsid w:val="006463AF"/>
    <w:rsid w:val="006463D8"/>
    <w:rsid w:val="00646588"/>
    <w:rsid w:val="006465E6"/>
    <w:rsid w:val="006471E9"/>
    <w:rsid w:val="0064728F"/>
    <w:rsid w:val="00647FAD"/>
    <w:rsid w:val="00650F06"/>
    <w:rsid w:val="00650F5D"/>
    <w:rsid w:val="0065102D"/>
    <w:rsid w:val="006512B9"/>
    <w:rsid w:val="00651667"/>
    <w:rsid w:val="00651DA7"/>
    <w:rsid w:val="0065206B"/>
    <w:rsid w:val="006520D9"/>
    <w:rsid w:val="0065266E"/>
    <w:rsid w:val="00652915"/>
    <w:rsid w:val="00652986"/>
    <w:rsid w:val="00652EEB"/>
    <w:rsid w:val="00653452"/>
    <w:rsid w:val="0065397A"/>
    <w:rsid w:val="00653DF1"/>
    <w:rsid w:val="00654542"/>
    <w:rsid w:val="006545DD"/>
    <w:rsid w:val="00654710"/>
    <w:rsid w:val="00654D62"/>
    <w:rsid w:val="00654EDF"/>
    <w:rsid w:val="006553D7"/>
    <w:rsid w:val="006556A8"/>
    <w:rsid w:val="006561BE"/>
    <w:rsid w:val="006564F5"/>
    <w:rsid w:val="0065661C"/>
    <w:rsid w:val="0065697E"/>
    <w:rsid w:val="006569EC"/>
    <w:rsid w:val="00656E5B"/>
    <w:rsid w:val="00656FA4"/>
    <w:rsid w:val="00657211"/>
    <w:rsid w:val="006575FB"/>
    <w:rsid w:val="00657A33"/>
    <w:rsid w:val="00657D0B"/>
    <w:rsid w:val="00657D34"/>
    <w:rsid w:val="00657D73"/>
    <w:rsid w:val="006610E8"/>
    <w:rsid w:val="00661265"/>
    <w:rsid w:val="00661588"/>
    <w:rsid w:val="006615F5"/>
    <w:rsid w:val="00661A11"/>
    <w:rsid w:val="00661FC6"/>
    <w:rsid w:val="0066220A"/>
    <w:rsid w:val="006630BC"/>
    <w:rsid w:val="006632A1"/>
    <w:rsid w:val="006634C0"/>
    <w:rsid w:val="006634FB"/>
    <w:rsid w:val="00663915"/>
    <w:rsid w:val="00664378"/>
    <w:rsid w:val="00664425"/>
    <w:rsid w:val="006648C4"/>
    <w:rsid w:val="00664BD9"/>
    <w:rsid w:val="00664D81"/>
    <w:rsid w:val="00664E1D"/>
    <w:rsid w:val="006657C8"/>
    <w:rsid w:val="0066594C"/>
    <w:rsid w:val="00665E76"/>
    <w:rsid w:val="00665EB7"/>
    <w:rsid w:val="006663EC"/>
    <w:rsid w:val="00666DDF"/>
    <w:rsid w:val="00667158"/>
    <w:rsid w:val="00667283"/>
    <w:rsid w:val="00667C60"/>
    <w:rsid w:val="006704A6"/>
    <w:rsid w:val="00670583"/>
    <w:rsid w:val="00670FDE"/>
    <w:rsid w:val="00671B53"/>
    <w:rsid w:val="00671C2F"/>
    <w:rsid w:val="00671F80"/>
    <w:rsid w:val="006723FC"/>
    <w:rsid w:val="00672501"/>
    <w:rsid w:val="00672614"/>
    <w:rsid w:val="00672800"/>
    <w:rsid w:val="006729F8"/>
    <w:rsid w:val="00673575"/>
    <w:rsid w:val="00673577"/>
    <w:rsid w:val="006745F1"/>
    <w:rsid w:val="00674C1B"/>
    <w:rsid w:val="00674FBD"/>
    <w:rsid w:val="0067536F"/>
    <w:rsid w:val="00675421"/>
    <w:rsid w:val="0067560E"/>
    <w:rsid w:val="006756EB"/>
    <w:rsid w:val="006757DF"/>
    <w:rsid w:val="0067589E"/>
    <w:rsid w:val="00675B0E"/>
    <w:rsid w:val="00676471"/>
    <w:rsid w:val="006767FC"/>
    <w:rsid w:val="006768DB"/>
    <w:rsid w:val="00676E85"/>
    <w:rsid w:val="00676EA2"/>
    <w:rsid w:val="00676FB5"/>
    <w:rsid w:val="0067755D"/>
    <w:rsid w:val="00680143"/>
    <w:rsid w:val="006807FE"/>
    <w:rsid w:val="00680950"/>
    <w:rsid w:val="00680962"/>
    <w:rsid w:val="00680E5B"/>
    <w:rsid w:val="00681C41"/>
    <w:rsid w:val="00681DFA"/>
    <w:rsid w:val="00681F18"/>
    <w:rsid w:val="00682039"/>
    <w:rsid w:val="00682309"/>
    <w:rsid w:val="00682840"/>
    <w:rsid w:val="00682963"/>
    <w:rsid w:val="00682D99"/>
    <w:rsid w:val="00682DD2"/>
    <w:rsid w:val="006831F0"/>
    <w:rsid w:val="006832B0"/>
    <w:rsid w:val="006832FA"/>
    <w:rsid w:val="00683735"/>
    <w:rsid w:val="00683E15"/>
    <w:rsid w:val="0068409C"/>
    <w:rsid w:val="00685D1C"/>
    <w:rsid w:val="00685E85"/>
    <w:rsid w:val="006861A9"/>
    <w:rsid w:val="006864EA"/>
    <w:rsid w:val="00686622"/>
    <w:rsid w:val="00686B05"/>
    <w:rsid w:val="00687193"/>
    <w:rsid w:val="006872BE"/>
    <w:rsid w:val="0068732C"/>
    <w:rsid w:val="006877C0"/>
    <w:rsid w:val="00687829"/>
    <w:rsid w:val="006879EA"/>
    <w:rsid w:val="00687A98"/>
    <w:rsid w:val="00690598"/>
    <w:rsid w:val="0069095A"/>
    <w:rsid w:val="0069131C"/>
    <w:rsid w:val="006916AC"/>
    <w:rsid w:val="0069176A"/>
    <w:rsid w:val="006918D8"/>
    <w:rsid w:val="00691AAB"/>
    <w:rsid w:val="006920C5"/>
    <w:rsid w:val="006922CE"/>
    <w:rsid w:val="006926CC"/>
    <w:rsid w:val="0069364F"/>
    <w:rsid w:val="00693D0B"/>
    <w:rsid w:val="006944A7"/>
    <w:rsid w:val="006946FA"/>
    <w:rsid w:val="0069478E"/>
    <w:rsid w:val="00694F92"/>
    <w:rsid w:val="006955C8"/>
    <w:rsid w:val="00695A26"/>
    <w:rsid w:val="006960D1"/>
    <w:rsid w:val="00696EEB"/>
    <w:rsid w:val="006970A6"/>
    <w:rsid w:val="00697675"/>
    <w:rsid w:val="00697868"/>
    <w:rsid w:val="006A0110"/>
    <w:rsid w:val="006A0399"/>
    <w:rsid w:val="006A082F"/>
    <w:rsid w:val="006A0CCF"/>
    <w:rsid w:val="006A0F83"/>
    <w:rsid w:val="006A1074"/>
    <w:rsid w:val="006A1651"/>
    <w:rsid w:val="006A16B5"/>
    <w:rsid w:val="006A174C"/>
    <w:rsid w:val="006A18CF"/>
    <w:rsid w:val="006A1B84"/>
    <w:rsid w:val="006A1EBA"/>
    <w:rsid w:val="006A2471"/>
    <w:rsid w:val="006A2A65"/>
    <w:rsid w:val="006A2B39"/>
    <w:rsid w:val="006A2CFE"/>
    <w:rsid w:val="006A2DDF"/>
    <w:rsid w:val="006A3397"/>
    <w:rsid w:val="006A33D2"/>
    <w:rsid w:val="006A3FED"/>
    <w:rsid w:val="006A49AE"/>
    <w:rsid w:val="006A4AF9"/>
    <w:rsid w:val="006A4AFE"/>
    <w:rsid w:val="006A4C2E"/>
    <w:rsid w:val="006A4F69"/>
    <w:rsid w:val="006A532B"/>
    <w:rsid w:val="006A5B67"/>
    <w:rsid w:val="006A5CC4"/>
    <w:rsid w:val="006A61C9"/>
    <w:rsid w:val="006A670E"/>
    <w:rsid w:val="006A6AD7"/>
    <w:rsid w:val="006A761D"/>
    <w:rsid w:val="006A7868"/>
    <w:rsid w:val="006B0443"/>
    <w:rsid w:val="006B05D3"/>
    <w:rsid w:val="006B0747"/>
    <w:rsid w:val="006B07FB"/>
    <w:rsid w:val="006B0974"/>
    <w:rsid w:val="006B0CFD"/>
    <w:rsid w:val="006B0D57"/>
    <w:rsid w:val="006B0E7D"/>
    <w:rsid w:val="006B1444"/>
    <w:rsid w:val="006B1584"/>
    <w:rsid w:val="006B15A3"/>
    <w:rsid w:val="006B1A72"/>
    <w:rsid w:val="006B2142"/>
    <w:rsid w:val="006B2224"/>
    <w:rsid w:val="006B2313"/>
    <w:rsid w:val="006B2556"/>
    <w:rsid w:val="006B2F86"/>
    <w:rsid w:val="006B3321"/>
    <w:rsid w:val="006B3535"/>
    <w:rsid w:val="006B47C1"/>
    <w:rsid w:val="006B4D22"/>
    <w:rsid w:val="006B4DC8"/>
    <w:rsid w:val="006B4E73"/>
    <w:rsid w:val="006B5166"/>
    <w:rsid w:val="006B580C"/>
    <w:rsid w:val="006B591A"/>
    <w:rsid w:val="006B5C60"/>
    <w:rsid w:val="006B60A9"/>
    <w:rsid w:val="006B6520"/>
    <w:rsid w:val="006B6998"/>
    <w:rsid w:val="006B6B43"/>
    <w:rsid w:val="006B6ED6"/>
    <w:rsid w:val="006B7042"/>
    <w:rsid w:val="006B732C"/>
    <w:rsid w:val="006B73A6"/>
    <w:rsid w:val="006B7501"/>
    <w:rsid w:val="006C076C"/>
    <w:rsid w:val="006C0AE6"/>
    <w:rsid w:val="006C0CE8"/>
    <w:rsid w:val="006C1768"/>
    <w:rsid w:val="006C1D36"/>
    <w:rsid w:val="006C22CF"/>
    <w:rsid w:val="006C23CC"/>
    <w:rsid w:val="006C290F"/>
    <w:rsid w:val="006C2A5F"/>
    <w:rsid w:val="006C2DDD"/>
    <w:rsid w:val="006C341A"/>
    <w:rsid w:val="006C34A3"/>
    <w:rsid w:val="006C36A8"/>
    <w:rsid w:val="006C3778"/>
    <w:rsid w:val="006C38DD"/>
    <w:rsid w:val="006C3C29"/>
    <w:rsid w:val="006C3D2E"/>
    <w:rsid w:val="006C3F96"/>
    <w:rsid w:val="006C48C5"/>
    <w:rsid w:val="006C4B26"/>
    <w:rsid w:val="006C4BD4"/>
    <w:rsid w:val="006C5039"/>
    <w:rsid w:val="006C509C"/>
    <w:rsid w:val="006C53F9"/>
    <w:rsid w:val="006C6430"/>
    <w:rsid w:val="006C65AB"/>
    <w:rsid w:val="006C6858"/>
    <w:rsid w:val="006C705F"/>
    <w:rsid w:val="006C756F"/>
    <w:rsid w:val="006C7578"/>
    <w:rsid w:val="006C77F0"/>
    <w:rsid w:val="006C7C6C"/>
    <w:rsid w:val="006C7EDA"/>
    <w:rsid w:val="006D016E"/>
    <w:rsid w:val="006D05F3"/>
    <w:rsid w:val="006D0708"/>
    <w:rsid w:val="006D0BAA"/>
    <w:rsid w:val="006D0D74"/>
    <w:rsid w:val="006D0DA6"/>
    <w:rsid w:val="006D0ECD"/>
    <w:rsid w:val="006D1169"/>
    <w:rsid w:val="006D1353"/>
    <w:rsid w:val="006D1AB2"/>
    <w:rsid w:val="006D2019"/>
    <w:rsid w:val="006D22B3"/>
    <w:rsid w:val="006D28D1"/>
    <w:rsid w:val="006D2C7B"/>
    <w:rsid w:val="006D3C03"/>
    <w:rsid w:val="006D3C22"/>
    <w:rsid w:val="006D41F9"/>
    <w:rsid w:val="006D4AD7"/>
    <w:rsid w:val="006D4D5C"/>
    <w:rsid w:val="006D4D88"/>
    <w:rsid w:val="006D565E"/>
    <w:rsid w:val="006D5A4C"/>
    <w:rsid w:val="006D5C32"/>
    <w:rsid w:val="006D6491"/>
    <w:rsid w:val="006D6612"/>
    <w:rsid w:val="006D6785"/>
    <w:rsid w:val="006D68D0"/>
    <w:rsid w:val="006D69B9"/>
    <w:rsid w:val="006D6E88"/>
    <w:rsid w:val="006D79AF"/>
    <w:rsid w:val="006D7E2A"/>
    <w:rsid w:val="006E02CA"/>
    <w:rsid w:val="006E0305"/>
    <w:rsid w:val="006E04C8"/>
    <w:rsid w:val="006E0597"/>
    <w:rsid w:val="006E05A5"/>
    <w:rsid w:val="006E0969"/>
    <w:rsid w:val="006E11DC"/>
    <w:rsid w:val="006E152F"/>
    <w:rsid w:val="006E1AB7"/>
    <w:rsid w:val="006E1BD0"/>
    <w:rsid w:val="006E1D70"/>
    <w:rsid w:val="006E203B"/>
    <w:rsid w:val="006E23D0"/>
    <w:rsid w:val="006E240C"/>
    <w:rsid w:val="006E289E"/>
    <w:rsid w:val="006E3348"/>
    <w:rsid w:val="006E363E"/>
    <w:rsid w:val="006E38F1"/>
    <w:rsid w:val="006E3D29"/>
    <w:rsid w:val="006E3EC6"/>
    <w:rsid w:val="006E42C3"/>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F006F"/>
    <w:rsid w:val="006F00B5"/>
    <w:rsid w:val="006F0900"/>
    <w:rsid w:val="006F0B6C"/>
    <w:rsid w:val="006F0D98"/>
    <w:rsid w:val="006F1D64"/>
    <w:rsid w:val="006F21AE"/>
    <w:rsid w:val="006F25EF"/>
    <w:rsid w:val="006F2927"/>
    <w:rsid w:val="006F2DB3"/>
    <w:rsid w:val="006F3700"/>
    <w:rsid w:val="006F40DD"/>
    <w:rsid w:val="006F4938"/>
    <w:rsid w:val="006F4A09"/>
    <w:rsid w:val="006F4E0B"/>
    <w:rsid w:val="006F5E6B"/>
    <w:rsid w:val="006F5E7D"/>
    <w:rsid w:val="006F6157"/>
    <w:rsid w:val="006F6634"/>
    <w:rsid w:val="006F6BFE"/>
    <w:rsid w:val="006F6F4E"/>
    <w:rsid w:val="006F7884"/>
    <w:rsid w:val="006F7B07"/>
    <w:rsid w:val="006F7E48"/>
    <w:rsid w:val="00700019"/>
    <w:rsid w:val="0070036E"/>
    <w:rsid w:val="007011FD"/>
    <w:rsid w:val="0070178E"/>
    <w:rsid w:val="00701B21"/>
    <w:rsid w:val="00702046"/>
    <w:rsid w:val="00702541"/>
    <w:rsid w:val="00702660"/>
    <w:rsid w:val="007027EB"/>
    <w:rsid w:val="00702B13"/>
    <w:rsid w:val="00702F86"/>
    <w:rsid w:val="00702FBE"/>
    <w:rsid w:val="00703411"/>
    <w:rsid w:val="00703738"/>
    <w:rsid w:val="00704197"/>
    <w:rsid w:val="00704463"/>
    <w:rsid w:val="0070498C"/>
    <w:rsid w:val="00704C4F"/>
    <w:rsid w:val="00704F81"/>
    <w:rsid w:val="007057DF"/>
    <w:rsid w:val="007057FD"/>
    <w:rsid w:val="0070599B"/>
    <w:rsid w:val="00705B27"/>
    <w:rsid w:val="00705E30"/>
    <w:rsid w:val="00705E35"/>
    <w:rsid w:val="00705E81"/>
    <w:rsid w:val="00706066"/>
    <w:rsid w:val="00706237"/>
    <w:rsid w:val="00706A01"/>
    <w:rsid w:val="0070773F"/>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FB0"/>
    <w:rsid w:val="00713101"/>
    <w:rsid w:val="007137B7"/>
    <w:rsid w:val="00713B6C"/>
    <w:rsid w:val="00713FE6"/>
    <w:rsid w:val="007140D5"/>
    <w:rsid w:val="007141D5"/>
    <w:rsid w:val="007141FA"/>
    <w:rsid w:val="00715830"/>
    <w:rsid w:val="00715AC8"/>
    <w:rsid w:val="00715F19"/>
    <w:rsid w:val="00716053"/>
    <w:rsid w:val="007162F5"/>
    <w:rsid w:val="00716781"/>
    <w:rsid w:val="007167B9"/>
    <w:rsid w:val="007167F3"/>
    <w:rsid w:val="00716B93"/>
    <w:rsid w:val="00716E80"/>
    <w:rsid w:val="00716F5C"/>
    <w:rsid w:val="007170D7"/>
    <w:rsid w:val="00717AA7"/>
    <w:rsid w:val="00717AB0"/>
    <w:rsid w:val="00717DF5"/>
    <w:rsid w:val="00717F1A"/>
    <w:rsid w:val="00722808"/>
    <w:rsid w:val="00722994"/>
    <w:rsid w:val="00722AF6"/>
    <w:rsid w:val="00723A12"/>
    <w:rsid w:val="00723B67"/>
    <w:rsid w:val="00723FBF"/>
    <w:rsid w:val="00724150"/>
    <w:rsid w:val="00724789"/>
    <w:rsid w:val="00724C26"/>
    <w:rsid w:val="00724CC7"/>
    <w:rsid w:val="00724D39"/>
    <w:rsid w:val="00724D75"/>
    <w:rsid w:val="0072554E"/>
    <w:rsid w:val="007255F2"/>
    <w:rsid w:val="00725959"/>
    <w:rsid w:val="00725A33"/>
    <w:rsid w:val="00725E38"/>
    <w:rsid w:val="00726391"/>
    <w:rsid w:val="007265F5"/>
    <w:rsid w:val="00726932"/>
    <w:rsid w:val="007273B0"/>
    <w:rsid w:val="007276E2"/>
    <w:rsid w:val="0072789C"/>
    <w:rsid w:val="00727B83"/>
    <w:rsid w:val="00730252"/>
    <w:rsid w:val="007307B5"/>
    <w:rsid w:val="00730CE6"/>
    <w:rsid w:val="00731639"/>
    <w:rsid w:val="00731ABB"/>
    <w:rsid w:val="007326DD"/>
    <w:rsid w:val="00733364"/>
    <w:rsid w:val="00733CA3"/>
    <w:rsid w:val="00734150"/>
    <w:rsid w:val="0073513B"/>
    <w:rsid w:val="00735A20"/>
    <w:rsid w:val="00735EF5"/>
    <w:rsid w:val="00736005"/>
    <w:rsid w:val="007362B8"/>
    <w:rsid w:val="007370E0"/>
    <w:rsid w:val="00737221"/>
    <w:rsid w:val="007374E7"/>
    <w:rsid w:val="00737761"/>
    <w:rsid w:val="0073790B"/>
    <w:rsid w:val="00737D08"/>
    <w:rsid w:val="007402E4"/>
    <w:rsid w:val="007407AB"/>
    <w:rsid w:val="00741061"/>
    <w:rsid w:val="0074112C"/>
    <w:rsid w:val="0074165E"/>
    <w:rsid w:val="00741B3C"/>
    <w:rsid w:val="00741E8D"/>
    <w:rsid w:val="00742244"/>
    <w:rsid w:val="00742828"/>
    <w:rsid w:val="00742B0F"/>
    <w:rsid w:val="00743B46"/>
    <w:rsid w:val="00743D27"/>
    <w:rsid w:val="00744172"/>
    <w:rsid w:val="007447D0"/>
    <w:rsid w:val="00744923"/>
    <w:rsid w:val="00744ABC"/>
    <w:rsid w:val="00745145"/>
    <w:rsid w:val="0074544F"/>
    <w:rsid w:val="00745496"/>
    <w:rsid w:val="00745796"/>
    <w:rsid w:val="00746118"/>
    <w:rsid w:val="007461FB"/>
    <w:rsid w:val="007468B8"/>
    <w:rsid w:val="007474FC"/>
    <w:rsid w:val="00747B1E"/>
    <w:rsid w:val="00747C7E"/>
    <w:rsid w:val="00747E55"/>
    <w:rsid w:val="00747FAA"/>
    <w:rsid w:val="0075084A"/>
    <w:rsid w:val="00751080"/>
    <w:rsid w:val="00751599"/>
    <w:rsid w:val="00751617"/>
    <w:rsid w:val="00751DF8"/>
    <w:rsid w:val="00751E99"/>
    <w:rsid w:val="007523A3"/>
    <w:rsid w:val="007524AF"/>
    <w:rsid w:val="007528A0"/>
    <w:rsid w:val="00752E1F"/>
    <w:rsid w:val="00752F11"/>
    <w:rsid w:val="007534EA"/>
    <w:rsid w:val="00753BAE"/>
    <w:rsid w:val="00753BB5"/>
    <w:rsid w:val="00753D3F"/>
    <w:rsid w:val="007540B0"/>
    <w:rsid w:val="00754363"/>
    <w:rsid w:val="00754B9F"/>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BA"/>
    <w:rsid w:val="00757EE0"/>
    <w:rsid w:val="00760511"/>
    <w:rsid w:val="00760AF2"/>
    <w:rsid w:val="0076172C"/>
    <w:rsid w:val="00761CE6"/>
    <w:rsid w:val="00761D59"/>
    <w:rsid w:val="00761F9A"/>
    <w:rsid w:val="0076231E"/>
    <w:rsid w:val="00762AA1"/>
    <w:rsid w:val="007638D0"/>
    <w:rsid w:val="00763C0A"/>
    <w:rsid w:val="007645FB"/>
    <w:rsid w:val="0076481F"/>
    <w:rsid w:val="00764922"/>
    <w:rsid w:val="00764B60"/>
    <w:rsid w:val="00764F61"/>
    <w:rsid w:val="007650F6"/>
    <w:rsid w:val="007652F0"/>
    <w:rsid w:val="00765405"/>
    <w:rsid w:val="00765431"/>
    <w:rsid w:val="00765D65"/>
    <w:rsid w:val="00765E87"/>
    <w:rsid w:val="0076629F"/>
    <w:rsid w:val="0076693C"/>
    <w:rsid w:val="00766A44"/>
    <w:rsid w:val="00766F2C"/>
    <w:rsid w:val="00767308"/>
    <w:rsid w:val="007675A7"/>
    <w:rsid w:val="0076780E"/>
    <w:rsid w:val="00767B37"/>
    <w:rsid w:val="00767C6E"/>
    <w:rsid w:val="00767D0C"/>
    <w:rsid w:val="007702DE"/>
    <w:rsid w:val="0077033B"/>
    <w:rsid w:val="00771017"/>
    <w:rsid w:val="00771468"/>
    <w:rsid w:val="00771AAE"/>
    <w:rsid w:val="00771FEF"/>
    <w:rsid w:val="0077205F"/>
    <w:rsid w:val="00772111"/>
    <w:rsid w:val="0077221C"/>
    <w:rsid w:val="0077232B"/>
    <w:rsid w:val="00772394"/>
    <w:rsid w:val="007725B7"/>
    <w:rsid w:val="00772A02"/>
    <w:rsid w:val="00772B6E"/>
    <w:rsid w:val="00772FF2"/>
    <w:rsid w:val="0077321B"/>
    <w:rsid w:val="00773279"/>
    <w:rsid w:val="0077334C"/>
    <w:rsid w:val="00773B25"/>
    <w:rsid w:val="007746AC"/>
    <w:rsid w:val="007748E2"/>
    <w:rsid w:val="00774BD6"/>
    <w:rsid w:val="00774DE9"/>
    <w:rsid w:val="00774EF5"/>
    <w:rsid w:val="0077544C"/>
    <w:rsid w:val="007754D6"/>
    <w:rsid w:val="007757A2"/>
    <w:rsid w:val="00775DFA"/>
    <w:rsid w:val="007761B2"/>
    <w:rsid w:val="0077697B"/>
    <w:rsid w:val="00777274"/>
    <w:rsid w:val="00777911"/>
    <w:rsid w:val="00777D08"/>
    <w:rsid w:val="00777EA9"/>
    <w:rsid w:val="00777F0C"/>
    <w:rsid w:val="007803FD"/>
    <w:rsid w:val="00780633"/>
    <w:rsid w:val="00780684"/>
    <w:rsid w:val="00780764"/>
    <w:rsid w:val="007808B4"/>
    <w:rsid w:val="00780F61"/>
    <w:rsid w:val="00780F69"/>
    <w:rsid w:val="007812BE"/>
    <w:rsid w:val="007812C0"/>
    <w:rsid w:val="00781461"/>
    <w:rsid w:val="00781501"/>
    <w:rsid w:val="00781A29"/>
    <w:rsid w:val="00781B53"/>
    <w:rsid w:val="007820C5"/>
    <w:rsid w:val="007825F6"/>
    <w:rsid w:val="0078261F"/>
    <w:rsid w:val="0078275C"/>
    <w:rsid w:val="00782D57"/>
    <w:rsid w:val="00783384"/>
    <w:rsid w:val="007833E6"/>
    <w:rsid w:val="00783474"/>
    <w:rsid w:val="0078461B"/>
    <w:rsid w:val="00784A1F"/>
    <w:rsid w:val="00785417"/>
    <w:rsid w:val="007855ED"/>
    <w:rsid w:val="00785665"/>
    <w:rsid w:val="007857AC"/>
    <w:rsid w:val="00785CEF"/>
    <w:rsid w:val="007860CA"/>
    <w:rsid w:val="00786499"/>
    <w:rsid w:val="007866A7"/>
    <w:rsid w:val="007868B7"/>
    <w:rsid w:val="00786AC6"/>
    <w:rsid w:val="00786C06"/>
    <w:rsid w:val="00786CC2"/>
    <w:rsid w:val="00786E4B"/>
    <w:rsid w:val="00787112"/>
    <w:rsid w:val="00787904"/>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F90"/>
    <w:rsid w:val="007930C4"/>
    <w:rsid w:val="007930CA"/>
    <w:rsid w:val="0079327F"/>
    <w:rsid w:val="00793416"/>
    <w:rsid w:val="0079375D"/>
    <w:rsid w:val="007939C1"/>
    <w:rsid w:val="00794783"/>
    <w:rsid w:val="00795601"/>
    <w:rsid w:val="00795A88"/>
    <w:rsid w:val="00795B1F"/>
    <w:rsid w:val="00795DBB"/>
    <w:rsid w:val="00796496"/>
    <w:rsid w:val="0079764C"/>
    <w:rsid w:val="007977C0"/>
    <w:rsid w:val="00797ED2"/>
    <w:rsid w:val="007A0032"/>
    <w:rsid w:val="007A018B"/>
    <w:rsid w:val="007A0751"/>
    <w:rsid w:val="007A11EE"/>
    <w:rsid w:val="007A12D2"/>
    <w:rsid w:val="007A18FE"/>
    <w:rsid w:val="007A193D"/>
    <w:rsid w:val="007A1BD4"/>
    <w:rsid w:val="007A1E88"/>
    <w:rsid w:val="007A27E2"/>
    <w:rsid w:val="007A2E3A"/>
    <w:rsid w:val="007A2E65"/>
    <w:rsid w:val="007A3D0B"/>
    <w:rsid w:val="007A3FBA"/>
    <w:rsid w:val="007A41D2"/>
    <w:rsid w:val="007A4220"/>
    <w:rsid w:val="007A4CC2"/>
    <w:rsid w:val="007A4E33"/>
    <w:rsid w:val="007A51E0"/>
    <w:rsid w:val="007A56F7"/>
    <w:rsid w:val="007A60FB"/>
    <w:rsid w:val="007A620C"/>
    <w:rsid w:val="007A6265"/>
    <w:rsid w:val="007A66C5"/>
    <w:rsid w:val="007A710C"/>
    <w:rsid w:val="007A717F"/>
    <w:rsid w:val="007A71A1"/>
    <w:rsid w:val="007A71B9"/>
    <w:rsid w:val="007A7342"/>
    <w:rsid w:val="007A7555"/>
    <w:rsid w:val="007A7AB9"/>
    <w:rsid w:val="007A7CC7"/>
    <w:rsid w:val="007A7FD3"/>
    <w:rsid w:val="007B1A3E"/>
    <w:rsid w:val="007B2907"/>
    <w:rsid w:val="007B2E00"/>
    <w:rsid w:val="007B38CE"/>
    <w:rsid w:val="007B3E63"/>
    <w:rsid w:val="007B3F29"/>
    <w:rsid w:val="007B3FBD"/>
    <w:rsid w:val="007B400B"/>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67A"/>
    <w:rsid w:val="007B7D39"/>
    <w:rsid w:val="007B7DD9"/>
    <w:rsid w:val="007C04C8"/>
    <w:rsid w:val="007C062D"/>
    <w:rsid w:val="007C09C2"/>
    <w:rsid w:val="007C13DC"/>
    <w:rsid w:val="007C1402"/>
    <w:rsid w:val="007C180A"/>
    <w:rsid w:val="007C191C"/>
    <w:rsid w:val="007C1C28"/>
    <w:rsid w:val="007C1CB1"/>
    <w:rsid w:val="007C1EAB"/>
    <w:rsid w:val="007C1F4A"/>
    <w:rsid w:val="007C280D"/>
    <w:rsid w:val="007C2923"/>
    <w:rsid w:val="007C2AD7"/>
    <w:rsid w:val="007C2B68"/>
    <w:rsid w:val="007C3073"/>
    <w:rsid w:val="007C3084"/>
    <w:rsid w:val="007C35B8"/>
    <w:rsid w:val="007C3789"/>
    <w:rsid w:val="007C3FAA"/>
    <w:rsid w:val="007C4164"/>
    <w:rsid w:val="007C41FA"/>
    <w:rsid w:val="007C4706"/>
    <w:rsid w:val="007C4B83"/>
    <w:rsid w:val="007C4DD7"/>
    <w:rsid w:val="007C509D"/>
    <w:rsid w:val="007C5A00"/>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2509"/>
    <w:rsid w:val="007D2734"/>
    <w:rsid w:val="007D2AEB"/>
    <w:rsid w:val="007D30E1"/>
    <w:rsid w:val="007D31B4"/>
    <w:rsid w:val="007D328B"/>
    <w:rsid w:val="007D3A9B"/>
    <w:rsid w:val="007D40A8"/>
    <w:rsid w:val="007D45A7"/>
    <w:rsid w:val="007D48B2"/>
    <w:rsid w:val="007D50A7"/>
    <w:rsid w:val="007D5148"/>
    <w:rsid w:val="007D5381"/>
    <w:rsid w:val="007D5F2D"/>
    <w:rsid w:val="007D63C1"/>
    <w:rsid w:val="007D6529"/>
    <w:rsid w:val="007D6551"/>
    <w:rsid w:val="007D66ED"/>
    <w:rsid w:val="007D6819"/>
    <w:rsid w:val="007D6A2D"/>
    <w:rsid w:val="007D6A51"/>
    <w:rsid w:val="007D7085"/>
    <w:rsid w:val="007D7422"/>
    <w:rsid w:val="007D77B0"/>
    <w:rsid w:val="007D79BC"/>
    <w:rsid w:val="007D7C84"/>
    <w:rsid w:val="007E037A"/>
    <w:rsid w:val="007E06BF"/>
    <w:rsid w:val="007E0717"/>
    <w:rsid w:val="007E0A01"/>
    <w:rsid w:val="007E0ADD"/>
    <w:rsid w:val="007E0DE1"/>
    <w:rsid w:val="007E1D08"/>
    <w:rsid w:val="007E1EE1"/>
    <w:rsid w:val="007E1F04"/>
    <w:rsid w:val="007E2A3F"/>
    <w:rsid w:val="007E2FF6"/>
    <w:rsid w:val="007E31C4"/>
    <w:rsid w:val="007E3251"/>
    <w:rsid w:val="007E34AF"/>
    <w:rsid w:val="007E357F"/>
    <w:rsid w:val="007E35B3"/>
    <w:rsid w:val="007E39F9"/>
    <w:rsid w:val="007E3B0B"/>
    <w:rsid w:val="007E3B6D"/>
    <w:rsid w:val="007E3F5E"/>
    <w:rsid w:val="007E432A"/>
    <w:rsid w:val="007E4927"/>
    <w:rsid w:val="007E4BCE"/>
    <w:rsid w:val="007E4F62"/>
    <w:rsid w:val="007E55A8"/>
    <w:rsid w:val="007E5617"/>
    <w:rsid w:val="007E5B2E"/>
    <w:rsid w:val="007E5DDA"/>
    <w:rsid w:val="007E5EB3"/>
    <w:rsid w:val="007E60B0"/>
    <w:rsid w:val="007E685B"/>
    <w:rsid w:val="007E68F9"/>
    <w:rsid w:val="007E6CA8"/>
    <w:rsid w:val="007E6FA2"/>
    <w:rsid w:val="007E7DC8"/>
    <w:rsid w:val="007F0074"/>
    <w:rsid w:val="007F0164"/>
    <w:rsid w:val="007F0176"/>
    <w:rsid w:val="007F01EE"/>
    <w:rsid w:val="007F02FA"/>
    <w:rsid w:val="007F0692"/>
    <w:rsid w:val="007F0A07"/>
    <w:rsid w:val="007F103E"/>
    <w:rsid w:val="007F12E3"/>
    <w:rsid w:val="007F1885"/>
    <w:rsid w:val="007F1F62"/>
    <w:rsid w:val="007F20D5"/>
    <w:rsid w:val="007F2252"/>
    <w:rsid w:val="007F23A8"/>
    <w:rsid w:val="007F3198"/>
    <w:rsid w:val="007F3371"/>
    <w:rsid w:val="007F3858"/>
    <w:rsid w:val="007F3944"/>
    <w:rsid w:val="007F3D6D"/>
    <w:rsid w:val="007F3E4B"/>
    <w:rsid w:val="007F45AC"/>
    <w:rsid w:val="007F4BB9"/>
    <w:rsid w:val="007F4F19"/>
    <w:rsid w:val="007F5282"/>
    <w:rsid w:val="007F52F0"/>
    <w:rsid w:val="007F562B"/>
    <w:rsid w:val="007F594F"/>
    <w:rsid w:val="007F5DD2"/>
    <w:rsid w:val="007F663C"/>
    <w:rsid w:val="007F67F9"/>
    <w:rsid w:val="007F6AA6"/>
    <w:rsid w:val="007F6AC7"/>
    <w:rsid w:val="007F6B44"/>
    <w:rsid w:val="007F70F3"/>
    <w:rsid w:val="007F7130"/>
    <w:rsid w:val="007F73DE"/>
    <w:rsid w:val="007F75FE"/>
    <w:rsid w:val="007F7C58"/>
    <w:rsid w:val="00800A2D"/>
    <w:rsid w:val="00800F76"/>
    <w:rsid w:val="00801451"/>
    <w:rsid w:val="008018CB"/>
    <w:rsid w:val="00801BAD"/>
    <w:rsid w:val="008023FD"/>
    <w:rsid w:val="00802930"/>
    <w:rsid w:val="00802F6A"/>
    <w:rsid w:val="00803D78"/>
    <w:rsid w:val="00804424"/>
    <w:rsid w:val="008046A9"/>
    <w:rsid w:val="00804705"/>
    <w:rsid w:val="00804815"/>
    <w:rsid w:val="00804988"/>
    <w:rsid w:val="00805064"/>
    <w:rsid w:val="0080519F"/>
    <w:rsid w:val="0080595B"/>
    <w:rsid w:val="00805CCE"/>
    <w:rsid w:val="00806204"/>
    <w:rsid w:val="00806635"/>
    <w:rsid w:val="00806902"/>
    <w:rsid w:val="008069FF"/>
    <w:rsid w:val="00806CCE"/>
    <w:rsid w:val="008076CB"/>
    <w:rsid w:val="008078F1"/>
    <w:rsid w:val="00807D34"/>
    <w:rsid w:val="00810110"/>
    <w:rsid w:val="0081056E"/>
    <w:rsid w:val="0081078E"/>
    <w:rsid w:val="008107C4"/>
    <w:rsid w:val="00811A4D"/>
    <w:rsid w:val="00811EFE"/>
    <w:rsid w:val="00812465"/>
    <w:rsid w:val="00812499"/>
    <w:rsid w:val="008126F4"/>
    <w:rsid w:val="008127D2"/>
    <w:rsid w:val="008128E0"/>
    <w:rsid w:val="00812B1F"/>
    <w:rsid w:val="00813D71"/>
    <w:rsid w:val="008140A3"/>
    <w:rsid w:val="00814505"/>
    <w:rsid w:val="0081458C"/>
    <w:rsid w:val="0081464B"/>
    <w:rsid w:val="008146CD"/>
    <w:rsid w:val="00814C92"/>
    <w:rsid w:val="00814DDC"/>
    <w:rsid w:val="00816B01"/>
    <w:rsid w:val="00816C15"/>
    <w:rsid w:val="00816E7F"/>
    <w:rsid w:val="0081772D"/>
    <w:rsid w:val="008204DE"/>
    <w:rsid w:val="0082070C"/>
    <w:rsid w:val="00820969"/>
    <w:rsid w:val="00820D6D"/>
    <w:rsid w:val="0082135F"/>
    <w:rsid w:val="00821B04"/>
    <w:rsid w:val="00821B5B"/>
    <w:rsid w:val="0082222D"/>
    <w:rsid w:val="00822570"/>
    <w:rsid w:val="0082270A"/>
    <w:rsid w:val="008227CA"/>
    <w:rsid w:val="00822AF8"/>
    <w:rsid w:val="00822E9B"/>
    <w:rsid w:val="00823691"/>
    <w:rsid w:val="008239A7"/>
    <w:rsid w:val="00823B34"/>
    <w:rsid w:val="00823C70"/>
    <w:rsid w:val="00823E8E"/>
    <w:rsid w:val="008243C6"/>
    <w:rsid w:val="008249C9"/>
    <w:rsid w:val="00824BC3"/>
    <w:rsid w:val="00824CF7"/>
    <w:rsid w:val="00824E9C"/>
    <w:rsid w:val="0082562D"/>
    <w:rsid w:val="00825C47"/>
    <w:rsid w:val="00825D01"/>
    <w:rsid w:val="008261B3"/>
    <w:rsid w:val="008264A2"/>
    <w:rsid w:val="00826950"/>
    <w:rsid w:val="00826DD9"/>
    <w:rsid w:val="00827186"/>
    <w:rsid w:val="00827738"/>
    <w:rsid w:val="00827806"/>
    <w:rsid w:val="00827905"/>
    <w:rsid w:val="00827DB4"/>
    <w:rsid w:val="00827E62"/>
    <w:rsid w:val="008309D4"/>
    <w:rsid w:val="00830ABF"/>
    <w:rsid w:val="00830E06"/>
    <w:rsid w:val="00830E76"/>
    <w:rsid w:val="0083195A"/>
    <w:rsid w:val="00831EDA"/>
    <w:rsid w:val="00831F42"/>
    <w:rsid w:val="00832660"/>
    <w:rsid w:val="00832819"/>
    <w:rsid w:val="00832961"/>
    <w:rsid w:val="00832AC1"/>
    <w:rsid w:val="00832C41"/>
    <w:rsid w:val="00832C83"/>
    <w:rsid w:val="00832E9B"/>
    <w:rsid w:val="008337EE"/>
    <w:rsid w:val="00833865"/>
    <w:rsid w:val="008339A4"/>
    <w:rsid w:val="00833B03"/>
    <w:rsid w:val="00833C64"/>
    <w:rsid w:val="00833CC6"/>
    <w:rsid w:val="00834870"/>
    <w:rsid w:val="00834BDA"/>
    <w:rsid w:val="008350DB"/>
    <w:rsid w:val="00835155"/>
    <w:rsid w:val="00835677"/>
    <w:rsid w:val="008358C3"/>
    <w:rsid w:val="00835A09"/>
    <w:rsid w:val="00835A15"/>
    <w:rsid w:val="00835BAE"/>
    <w:rsid w:val="00835BCE"/>
    <w:rsid w:val="00835C86"/>
    <w:rsid w:val="0083605A"/>
    <w:rsid w:val="0083616E"/>
    <w:rsid w:val="0083625B"/>
    <w:rsid w:val="00836696"/>
    <w:rsid w:val="0083679B"/>
    <w:rsid w:val="00836DE7"/>
    <w:rsid w:val="00836DF9"/>
    <w:rsid w:val="0083705C"/>
    <w:rsid w:val="0083787A"/>
    <w:rsid w:val="0084041A"/>
    <w:rsid w:val="008409C6"/>
    <w:rsid w:val="00840FB6"/>
    <w:rsid w:val="008411B8"/>
    <w:rsid w:val="008414DE"/>
    <w:rsid w:val="00841DCB"/>
    <w:rsid w:val="008427E0"/>
    <w:rsid w:val="00842C46"/>
    <w:rsid w:val="00842D83"/>
    <w:rsid w:val="00842EAE"/>
    <w:rsid w:val="00843F8C"/>
    <w:rsid w:val="008444EB"/>
    <w:rsid w:val="0084485B"/>
    <w:rsid w:val="008449ED"/>
    <w:rsid w:val="00844F5D"/>
    <w:rsid w:val="00845B59"/>
    <w:rsid w:val="00845D0A"/>
    <w:rsid w:val="00845E8A"/>
    <w:rsid w:val="00845EF2"/>
    <w:rsid w:val="008460A6"/>
    <w:rsid w:val="0084610A"/>
    <w:rsid w:val="00846220"/>
    <w:rsid w:val="00846604"/>
    <w:rsid w:val="00846726"/>
    <w:rsid w:val="0084693F"/>
    <w:rsid w:val="00846ABD"/>
    <w:rsid w:val="00846BD9"/>
    <w:rsid w:val="00846C81"/>
    <w:rsid w:val="00846CC3"/>
    <w:rsid w:val="00847073"/>
    <w:rsid w:val="008472CD"/>
    <w:rsid w:val="0084742F"/>
    <w:rsid w:val="008476D4"/>
    <w:rsid w:val="00847702"/>
    <w:rsid w:val="00847A58"/>
    <w:rsid w:val="00850140"/>
    <w:rsid w:val="00850E54"/>
    <w:rsid w:val="0085116E"/>
    <w:rsid w:val="0085159A"/>
    <w:rsid w:val="00851AB0"/>
    <w:rsid w:val="0085244B"/>
    <w:rsid w:val="00852784"/>
    <w:rsid w:val="00852E4A"/>
    <w:rsid w:val="0085336B"/>
    <w:rsid w:val="008535FB"/>
    <w:rsid w:val="00853693"/>
    <w:rsid w:val="00853C6C"/>
    <w:rsid w:val="00853FC3"/>
    <w:rsid w:val="0085422D"/>
    <w:rsid w:val="00854A9B"/>
    <w:rsid w:val="0085597A"/>
    <w:rsid w:val="00855B80"/>
    <w:rsid w:val="00856168"/>
    <w:rsid w:val="00856890"/>
    <w:rsid w:val="00856C08"/>
    <w:rsid w:val="00857098"/>
    <w:rsid w:val="0085722F"/>
    <w:rsid w:val="008574F9"/>
    <w:rsid w:val="008577F3"/>
    <w:rsid w:val="00857E08"/>
    <w:rsid w:val="00860B71"/>
    <w:rsid w:val="00860E35"/>
    <w:rsid w:val="00861037"/>
    <w:rsid w:val="00861076"/>
    <w:rsid w:val="00861294"/>
    <w:rsid w:val="008618D8"/>
    <w:rsid w:val="00861BB8"/>
    <w:rsid w:val="00861CB0"/>
    <w:rsid w:val="0086294E"/>
    <w:rsid w:val="00862B92"/>
    <w:rsid w:val="00862E23"/>
    <w:rsid w:val="00863896"/>
    <w:rsid w:val="00863A49"/>
    <w:rsid w:val="00863F4E"/>
    <w:rsid w:val="008645EB"/>
    <w:rsid w:val="00864692"/>
    <w:rsid w:val="0086496D"/>
    <w:rsid w:val="00864A17"/>
    <w:rsid w:val="00864B3E"/>
    <w:rsid w:val="0086504A"/>
    <w:rsid w:val="008651D5"/>
    <w:rsid w:val="00865755"/>
    <w:rsid w:val="0086606E"/>
    <w:rsid w:val="008667CF"/>
    <w:rsid w:val="00866BF8"/>
    <w:rsid w:val="00867107"/>
    <w:rsid w:val="008676EE"/>
    <w:rsid w:val="00870C41"/>
    <w:rsid w:val="0087106E"/>
    <w:rsid w:val="00871364"/>
    <w:rsid w:val="008715B9"/>
    <w:rsid w:val="008717BF"/>
    <w:rsid w:val="0087229E"/>
    <w:rsid w:val="00872A33"/>
    <w:rsid w:val="00872A4C"/>
    <w:rsid w:val="00872E33"/>
    <w:rsid w:val="00872E5C"/>
    <w:rsid w:val="00872FD7"/>
    <w:rsid w:val="008731D7"/>
    <w:rsid w:val="00873921"/>
    <w:rsid w:val="00873E75"/>
    <w:rsid w:val="00874449"/>
    <w:rsid w:val="008747C8"/>
    <w:rsid w:val="008747F8"/>
    <w:rsid w:val="008757AD"/>
    <w:rsid w:val="00876A36"/>
    <w:rsid w:val="00876A8E"/>
    <w:rsid w:val="00876BA4"/>
    <w:rsid w:val="00876E8A"/>
    <w:rsid w:val="00876EF5"/>
    <w:rsid w:val="00876F87"/>
    <w:rsid w:val="00877D9D"/>
    <w:rsid w:val="00877FE6"/>
    <w:rsid w:val="0088061E"/>
    <w:rsid w:val="00880842"/>
    <w:rsid w:val="00880C6C"/>
    <w:rsid w:val="00880D5B"/>
    <w:rsid w:val="00880FE2"/>
    <w:rsid w:val="008810BA"/>
    <w:rsid w:val="008811D9"/>
    <w:rsid w:val="00881406"/>
    <w:rsid w:val="00881A8C"/>
    <w:rsid w:val="00881E34"/>
    <w:rsid w:val="008822A0"/>
    <w:rsid w:val="0088240C"/>
    <w:rsid w:val="008826CB"/>
    <w:rsid w:val="00882A7C"/>
    <w:rsid w:val="00882C13"/>
    <w:rsid w:val="008832B0"/>
    <w:rsid w:val="008836A2"/>
    <w:rsid w:val="00883705"/>
    <w:rsid w:val="0088417A"/>
    <w:rsid w:val="0088426B"/>
    <w:rsid w:val="00884F5F"/>
    <w:rsid w:val="008854CC"/>
    <w:rsid w:val="00885613"/>
    <w:rsid w:val="00885694"/>
    <w:rsid w:val="00885BB9"/>
    <w:rsid w:val="00885D48"/>
    <w:rsid w:val="008860B5"/>
    <w:rsid w:val="00886209"/>
    <w:rsid w:val="0088634F"/>
    <w:rsid w:val="00886889"/>
    <w:rsid w:val="0088694B"/>
    <w:rsid w:val="00886CD3"/>
    <w:rsid w:val="008874F1"/>
    <w:rsid w:val="00890063"/>
    <w:rsid w:val="008904CB"/>
    <w:rsid w:val="00890579"/>
    <w:rsid w:val="0089072D"/>
    <w:rsid w:val="00890E7A"/>
    <w:rsid w:val="008916CD"/>
    <w:rsid w:val="00892765"/>
    <w:rsid w:val="008928CC"/>
    <w:rsid w:val="0089317C"/>
    <w:rsid w:val="0089335B"/>
    <w:rsid w:val="008933CC"/>
    <w:rsid w:val="00893646"/>
    <w:rsid w:val="00893707"/>
    <w:rsid w:val="00893DC9"/>
    <w:rsid w:val="00893EE8"/>
    <w:rsid w:val="00894454"/>
    <w:rsid w:val="00894835"/>
    <w:rsid w:val="008949A3"/>
    <w:rsid w:val="00894BE8"/>
    <w:rsid w:val="00894DAE"/>
    <w:rsid w:val="0089588F"/>
    <w:rsid w:val="00895E5F"/>
    <w:rsid w:val="00896821"/>
    <w:rsid w:val="008968B4"/>
    <w:rsid w:val="00896FA9"/>
    <w:rsid w:val="0089711F"/>
    <w:rsid w:val="008977B2"/>
    <w:rsid w:val="00897BD4"/>
    <w:rsid w:val="008A0117"/>
    <w:rsid w:val="008A05F5"/>
    <w:rsid w:val="008A0659"/>
    <w:rsid w:val="008A0A10"/>
    <w:rsid w:val="008A0AD2"/>
    <w:rsid w:val="008A1BF3"/>
    <w:rsid w:val="008A1C70"/>
    <w:rsid w:val="008A1F78"/>
    <w:rsid w:val="008A2255"/>
    <w:rsid w:val="008A260A"/>
    <w:rsid w:val="008A26D3"/>
    <w:rsid w:val="008A2C71"/>
    <w:rsid w:val="008A3649"/>
    <w:rsid w:val="008A3BEF"/>
    <w:rsid w:val="008A3E70"/>
    <w:rsid w:val="008A3F08"/>
    <w:rsid w:val="008A422C"/>
    <w:rsid w:val="008A43E9"/>
    <w:rsid w:val="008A486B"/>
    <w:rsid w:val="008A592C"/>
    <w:rsid w:val="008A5D71"/>
    <w:rsid w:val="008A6984"/>
    <w:rsid w:val="008A6B9D"/>
    <w:rsid w:val="008A766F"/>
    <w:rsid w:val="008A768C"/>
    <w:rsid w:val="008A77E3"/>
    <w:rsid w:val="008A786C"/>
    <w:rsid w:val="008A7C9F"/>
    <w:rsid w:val="008B02C8"/>
    <w:rsid w:val="008B06FC"/>
    <w:rsid w:val="008B094E"/>
    <w:rsid w:val="008B0B58"/>
    <w:rsid w:val="008B0E2C"/>
    <w:rsid w:val="008B100F"/>
    <w:rsid w:val="008B11D9"/>
    <w:rsid w:val="008B137A"/>
    <w:rsid w:val="008B1404"/>
    <w:rsid w:val="008B14D0"/>
    <w:rsid w:val="008B1A61"/>
    <w:rsid w:val="008B1AB6"/>
    <w:rsid w:val="008B2C35"/>
    <w:rsid w:val="008B3AB5"/>
    <w:rsid w:val="008B3F74"/>
    <w:rsid w:val="008B402B"/>
    <w:rsid w:val="008B433E"/>
    <w:rsid w:val="008B463C"/>
    <w:rsid w:val="008B4CCD"/>
    <w:rsid w:val="008B4E88"/>
    <w:rsid w:val="008B507B"/>
    <w:rsid w:val="008B556D"/>
    <w:rsid w:val="008B5954"/>
    <w:rsid w:val="008B5C94"/>
    <w:rsid w:val="008B617A"/>
    <w:rsid w:val="008B6432"/>
    <w:rsid w:val="008B67AD"/>
    <w:rsid w:val="008B6B58"/>
    <w:rsid w:val="008B723E"/>
    <w:rsid w:val="008B75B4"/>
    <w:rsid w:val="008B775B"/>
    <w:rsid w:val="008B78B1"/>
    <w:rsid w:val="008B7A8B"/>
    <w:rsid w:val="008B7BCC"/>
    <w:rsid w:val="008B7C52"/>
    <w:rsid w:val="008B7C7B"/>
    <w:rsid w:val="008C01A9"/>
    <w:rsid w:val="008C033F"/>
    <w:rsid w:val="008C0387"/>
    <w:rsid w:val="008C0567"/>
    <w:rsid w:val="008C05EA"/>
    <w:rsid w:val="008C079D"/>
    <w:rsid w:val="008C0826"/>
    <w:rsid w:val="008C09A4"/>
    <w:rsid w:val="008C0B0A"/>
    <w:rsid w:val="008C0F29"/>
    <w:rsid w:val="008C152A"/>
    <w:rsid w:val="008C1660"/>
    <w:rsid w:val="008C1747"/>
    <w:rsid w:val="008C1D30"/>
    <w:rsid w:val="008C23C7"/>
    <w:rsid w:val="008C25EC"/>
    <w:rsid w:val="008C2CFE"/>
    <w:rsid w:val="008C3110"/>
    <w:rsid w:val="008C335C"/>
    <w:rsid w:val="008C33E2"/>
    <w:rsid w:val="008C33FE"/>
    <w:rsid w:val="008C378A"/>
    <w:rsid w:val="008C37BC"/>
    <w:rsid w:val="008C3AD3"/>
    <w:rsid w:val="008C3AF6"/>
    <w:rsid w:val="008C41AF"/>
    <w:rsid w:val="008C4A8B"/>
    <w:rsid w:val="008C4BA9"/>
    <w:rsid w:val="008C4F58"/>
    <w:rsid w:val="008C4FC6"/>
    <w:rsid w:val="008C51FA"/>
    <w:rsid w:val="008C5A20"/>
    <w:rsid w:val="008C67D8"/>
    <w:rsid w:val="008C69F7"/>
    <w:rsid w:val="008C6E16"/>
    <w:rsid w:val="008C74E4"/>
    <w:rsid w:val="008C7524"/>
    <w:rsid w:val="008C75D0"/>
    <w:rsid w:val="008C7A2A"/>
    <w:rsid w:val="008C7B2D"/>
    <w:rsid w:val="008C7E5C"/>
    <w:rsid w:val="008C7FF3"/>
    <w:rsid w:val="008D05FA"/>
    <w:rsid w:val="008D0803"/>
    <w:rsid w:val="008D080F"/>
    <w:rsid w:val="008D08BE"/>
    <w:rsid w:val="008D1053"/>
    <w:rsid w:val="008D12E3"/>
    <w:rsid w:val="008D17B6"/>
    <w:rsid w:val="008D1861"/>
    <w:rsid w:val="008D198A"/>
    <w:rsid w:val="008D21B5"/>
    <w:rsid w:val="008D2790"/>
    <w:rsid w:val="008D2995"/>
    <w:rsid w:val="008D29FD"/>
    <w:rsid w:val="008D2DF9"/>
    <w:rsid w:val="008D3BED"/>
    <w:rsid w:val="008D3E66"/>
    <w:rsid w:val="008D45D3"/>
    <w:rsid w:val="008D4857"/>
    <w:rsid w:val="008D6A8E"/>
    <w:rsid w:val="008D704E"/>
    <w:rsid w:val="008D7346"/>
    <w:rsid w:val="008D7DFB"/>
    <w:rsid w:val="008E0521"/>
    <w:rsid w:val="008E07EF"/>
    <w:rsid w:val="008E0832"/>
    <w:rsid w:val="008E0948"/>
    <w:rsid w:val="008E0A42"/>
    <w:rsid w:val="008E0D20"/>
    <w:rsid w:val="008E1517"/>
    <w:rsid w:val="008E19A6"/>
    <w:rsid w:val="008E1BEB"/>
    <w:rsid w:val="008E22F8"/>
    <w:rsid w:val="008E2840"/>
    <w:rsid w:val="008E2E4A"/>
    <w:rsid w:val="008E33BD"/>
    <w:rsid w:val="008E3A8C"/>
    <w:rsid w:val="008E3D9C"/>
    <w:rsid w:val="008E3F42"/>
    <w:rsid w:val="008E4073"/>
    <w:rsid w:val="008E40C6"/>
    <w:rsid w:val="008E4579"/>
    <w:rsid w:val="008E474E"/>
    <w:rsid w:val="008E4794"/>
    <w:rsid w:val="008E47E4"/>
    <w:rsid w:val="008E492D"/>
    <w:rsid w:val="008E4B5D"/>
    <w:rsid w:val="008E4E7F"/>
    <w:rsid w:val="008E60DB"/>
    <w:rsid w:val="008E6B0F"/>
    <w:rsid w:val="008E6B6E"/>
    <w:rsid w:val="008E6E9C"/>
    <w:rsid w:val="008E6F00"/>
    <w:rsid w:val="008E73AF"/>
    <w:rsid w:val="008E7A6F"/>
    <w:rsid w:val="008E7C21"/>
    <w:rsid w:val="008E7C57"/>
    <w:rsid w:val="008E7D24"/>
    <w:rsid w:val="008E7E69"/>
    <w:rsid w:val="008F00D6"/>
    <w:rsid w:val="008F0C9F"/>
    <w:rsid w:val="008F0ECB"/>
    <w:rsid w:val="008F1399"/>
    <w:rsid w:val="008F194C"/>
    <w:rsid w:val="008F1AA7"/>
    <w:rsid w:val="008F1DB8"/>
    <w:rsid w:val="008F20CE"/>
    <w:rsid w:val="008F22D2"/>
    <w:rsid w:val="008F23EA"/>
    <w:rsid w:val="008F2C00"/>
    <w:rsid w:val="008F3171"/>
    <w:rsid w:val="008F3BB5"/>
    <w:rsid w:val="008F4126"/>
    <w:rsid w:val="008F433B"/>
    <w:rsid w:val="008F4DE4"/>
    <w:rsid w:val="008F55EB"/>
    <w:rsid w:val="008F5653"/>
    <w:rsid w:val="008F5815"/>
    <w:rsid w:val="008F582A"/>
    <w:rsid w:val="008F5F95"/>
    <w:rsid w:val="008F5FCC"/>
    <w:rsid w:val="008F6031"/>
    <w:rsid w:val="008F612C"/>
    <w:rsid w:val="008F635A"/>
    <w:rsid w:val="008F63F2"/>
    <w:rsid w:val="008F64FF"/>
    <w:rsid w:val="008F6D5E"/>
    <w:rsid w:val="008F7459"/>
    <w:rsid w:val="008F7468"/>
    <w:rsid w:val="008F75DB"/>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759"/>
    <w:rsid w:val="00902C9B"/>
    <w:rsid w:val="009030ED"/>
    <w:rsid w:val="009031B5"/>
    <w:rsid w:val="009031DA"/>
    <w:rsid w:val="00903270"/>
    <w:rsid w:val="00903683"/>
    <w:rsid w:val="00903A79"/>
    <w:rsid w:val="00903CD7"/>
    <w:rsid w:val="00904644"/>
    <w:rsid w:val="00904808"/>
    <w:rsid w:val="00904AB3"/>
    <w:rsid w:val="00904F67"/>
    <w:rsid w:val="009051C1"/>
    <w:rsid w:val="00905671"/>
    <w:rsid w:val="009056C9"/>
    <w:rsid w:val="009059E7"/>
    <w:rsid w:val="00905B96"/>
    <w:rsid w:val="00906179"/>
    <w:rsid w:val="00906542"/>
    <w:rsid w:val="00906BA3"/>
    <w:rsid w:val="00906D30"/>
    <w:rsid w:val="009072E4"/>
    <w:rsid w:val="009074A6"/>
    <w:rsid w:val="00907873"/>
    <w:rsid w:val="00910221"/>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D7A"/>
    <w:rsid w:val="00912DB1"/>
    <w:rsid w:val="00912EEF"/>
    <w:rsid w:val="009135BE"/>
    <w:rsid w:val="00913B20"/>
    <w:rsid w:val="00913B89"/>
    <w:rsid w:val="009143AC"/>
    <w:rsid w:val="00914466"/>
    <w:rsid w:val="00914674"/>
    <w:rsid w:val="00914CCC"/>
    <w:rsid w:val="00915315"/>
    <w:rsid w:val="009153DC"/>
    <w:rsid w:val="00915488"/>
    <w:rsid w:val="009154ED"/>
    <w:rsid w:val="009158F8"/>
    <w:rsid w:val="009160C9"/>
    <w:rsid w:val="0091634A"/>
    <w:rsid w:val="00916492"/>
    <w:rsid w:val="009166D3"/>
    <w:rsid w:val="00916816"/>
    <w:rsid w:val="00916D9E"/>
    <w:rsid w:val="00917272"/>
    <w:rsid w:val="009173C8"/>
    <w:rsid w:val="009176C1"/>
    <w:rsid w:val="00917DD2"/>
    <w:rsid w:val="00917EE6"/>
    <w:rsid w:val="00917FE8"/>
    <w:rsid w:val="00920032"/>
    <w:rsid w:val="0092017F"/>
    <w:rsid w:val="0092025B"/>
    <w:rsid w:val="009205CB"/>
    <w:rsid w:val="009206DC"/>
    <w:rsid w:val="00920988"/>
    <w:rsid w:val="00920FCD"/>
    <w:rsid w:val="00921083"/>
    <w:rsid w:val="00921563"/>
    <w:rsid w:val="00921771"/>
    <w:rsid w:val="00921CBD"/>
    <w:rsid w:val="0092254D"/>
    <w:rsid w:val="00922586"/>
    <w:rsid w:val="009227DA"/>
    <w:rsid w:val="00922811"/>
    <w:rsid w:val="00922931"/>
    <w:rsid w:val="009230C3"/>
    <w:rsid w:val="00923208"/>
    <w:rsid w:val="009232AD"/>
    <w:rsid w:val="009234AD"/>
    <w:rsid w:val="00923843"/>
    <w:rsid w:val="00923A95"/>
    <w:rsid w:val="00924307"/>
    <w:rsid w:val="009248C7"/>
    <w:rsid w:val="00924D0B"/>
    <w:rsid w:val="00924F5E"/>
    <w:rsid w:val="0092568E"/>
    <w:rsid w:val="0092589A"/>
    <w:rsid w:val="00925968"/>
    <w:rsid w:val="00925B88"/>
    <w:rsid w:val="00925C69"/>
    <w:rsid w:val="009262B6"/>
    <w:rsid w:val="00926884"/>
    <w:rsid w:val="00926D97"/>
    <w:rsid w:val="00926E70"/>
    <w:rsid w:val="009270EC"/>
    <w:rsid w:val="009271BD"/>
    <w:rsid w:val="00927709"/>
    <w:rsid w:val="009277D9"/>
    <w:rsid w:val="00927B5D"/>
    <w:rsid w:val="00927DBB"/>
    <w:rsid w:val="00927EEE"/>
    <w:rsid w:val="0093013C"/>
    <w:rsid w:val="00930459"/>
    <w:rsid w:val="009313CA"/>
    <w:rsid w:val="009313D7"/>
    <w:rsid w:val="00931497"/>
    <w:rsid w:val="00931AAA"/>
    <w:rsid w:val="00931C0F"/>
    <w:rsid w:val="00931EEE"/>
    <w:rsid w:val="00932C71"/>
    <w:rsid w:val="0093469D"/>
    <w:rsid w:val="00934EAA"/>
    <w:rsid w:val="00934FE2"/>
    <w:rsid w:val="009356D3"/>
    <w:rsid w:val="00935FCE"/>
    <w:rsid w:val="009365D4"/>
    <w:rsid w:val="00936BFF"/>
    <w:rsid w:val="00936E87"/>
    <w:rsid w:val="00936EC1"/>
    <w:rsid w:val="009376F7"/>
    <w:rsid w:val="00937D8E"/>
    <w:rsid w:val="0094004C"/>
    <w:rsid w:val="0094032F"/>
    <w:rsid w:val="00940902"/>
    <w:rsid w:val="00940D2E"/>
    <w:rsid w:val="00940D84"/>
    <w:rsid w:val="009411B9"/>
    <w:rsid w:val="0094131D"/>
    <w:rsid w:val="009419DC"/>
    <w:rsid w:val="009420F2"/>
    <w:rsid w:val="009422B8"/>
    <w:rsid w:val="009425D0"/>
    <w:rsid w:val="009425F1"/>
    <w:rsid w:val="009428F1"/>
    <w:rsid w:val="009439DA"/>
    <w:rsid w:val="00944409"/>
    <w:rsid w:val="009444F9"/>
    <w:rsid w:val="00944572"/>
    <w:rsid w:val="00944BA9"/>
    <w:rsid w:val="00944DB5"/>
    <w:rsid w:val="00944DF3"/>
    <w:rsid w:val="009452BF"/>
    <w:rsid w:val="0094550E"/>
    <w:rsid w:val="0094575D"/>
    <w:rsid w:val="009457B5"/>
    <w:rsid w:val="00945E11"/>
    <w:rsid w:val="009461F1"/>
    <w:rsid w:val="00946340"/>
    <w:rsid w:val="0094645B"/>
    <w:rsid w:val="009468CF"/>
    <w:rsid w:val="009470B1"/>
    <w:rsid w:val="00947748"/>
    <w:rsid w:val="00947AAF"/>
    <w:rsid w:val="00950405"/>
    <w:rsid w:val="009505F3"/>
    <w:rsid w:val="009507C5"/>
    <w:rsid w:val="00950927"/>
    <w:rsid w:val="00950A5E"/>
    <w:rsid w:val="0095126D"/>
    <w:rsid w:val="00951563"/>
    <w:rsid w:val="00951C15"/>
    <w:rsid w:val="009521BB"/>
    <w:rsid w:val="0095226E"/>
    <w:rsid w:val="00952281"/>
    <w:rsid w:val="00952BDA"/>
    <w:rsid w:val="00952FE0"/>
    <w:rsid w:val="00953883"/>
    <w:rsid w:val="009539C4"/>
    <w:rsid w:val="00953FB1"/>
    <w:rsid w:val="00954471"/>
    <w:rsid w:val="00954750"/>
    <w:rsid w:val="009547B0"/>
    <w:rsid w:val="00954B75"/>
    <w:rsid w:val="00954CB9"/>
    <w:rsid w:val="00955181"/>
    <w:rsid w:val="00955A3C"/>
    <w:rsid w:val="00955FBC"/>
    <w:rsid w:val="0095615E"/>
    <w:rsid w:val="00956567"/>
    <w:rsid w:val="009566F6"/>
    <w:rsid w:val="00956850"/>
    <w:rsid w:val="00956926"/>
    <w:rsid w:val="00956AE8"/>
    <w:rsid w:val="00956B1A"/>
    <w:rsid w:val="00956C2A"/>
    <w:rsid w:val="00957298"/>
    <w:rsid w:val="009573CB"/>
    <w:rsid w:val="00957BBD"/>
    <w:rsid w:val="00957F82"/>
    <w:rsid w:val="00960000"/>
    <w:rsid w:val="00960075"/>
    <w:rsid w:val="0096042F"/>
    <w:rsid w:val="0096052B"/>
    <w:rsid w:val="0096054A"/>
    <w:rsid w:val="0096058F"/>
    <w:rsid w:val="009606B9"/>
    <w:rsid w:val="0096093A"/>
    <w:rsid w:val="00961151"/>
    <w:rsid w:val="00961187"/>
    <w:rsid w:val="009613E4"/>
    <w:rsid w:val="0096248E"/>
    <w:rsid w:val="009625DD"/>
    <w:rsid w:val="00962736"/>
    <w:rsid w:val="00962963"/>
    <w:rsid w:val="00962F6B"/>
    <w:rsid w:val="00962FAD"/>
    <w:rsid w:val="009630A8"/>
    <w:rsid w:val="00964791"/>
    <w:rsid w:val="009654C8"/>
    <w:rsid w:val="00965518"/>
    <w:rsid w:val="009656EA"/>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4AB"/>
    <w:rsid w:val="0097163B"/>
    <w:rsid w:val="009717E4"/>
    <w:rsid w:val="00971924"/>
    <w:rsid w:val="00972290"/>
    <w:rsid w:val="0097256D"/>
    <w:rsid w:val="0097262B"/>
    <w:rsid w:val="00972B40"/>
    <w:rsid w:val="00972FCD"/>
    <w:rsid w:val="00973F8F"/>
    <w:rsid w:val="00974255"/>
    <w:rsid w:val="00974F7C"/>
    <w:rsid w:val="00975801"/>
    <w:rsid w:val="00975A09"/>
    <w:rsid w:val="00975D6E"/>
    <w:rsid w:val="009761E1"/>
    <w:rsid w:val="0097659A"/>
    <w:rsid w:val="0097664C"/>
    <w:rsid w:val="0097727E"/>
    <w:rsid w:val="009777FC"/>
    <w:rsid w:val="00977C11"/>
    <w:rsid w:val="00977D5A"/>
    <w:rsid w:val="00977FEF"/>
    <w:rsid w:val="00980057"/>
    <w:rsid w:val="0098094D"/>
    <w:rsid w:val="009811C1"/>
    <w:rsid w:val="0098120A"/>
    <w:rsid w:val="0098200C"/>
    <w:rsid w:val="0098206D"/>
    <w:rsid w:val="009821A1"/>
    <w:rsid w:val="00982297"/>
    <w:rsid w:val="0098319B"/>
    <w:rsid w:val="0098377F"/>
    <w:rsid w:val="00983890"/>
    <w:rsid w:val="009840FD"/>
    <w:rsid w:val="0098481F"/>
    <w:rsid w:val="0098561D"/>
    <w:rsid w:val="00985767"/>
    <w:rsid w:val="009860F8"/>
    <w:rsid w:val="009867E0"/>
    <w:rsid w:val="00986A9B"/>
    <w:rsid w:val="0098759D"/>
    <w:rsid w:val="009876C0"/>
    <w:rsid w:val="0098772E"/>
    <w:rsid w:val="00987877"/>
    <w:rsid w:val="00987F07"/>
    <w:rsid w:val="00990833"/>
    <w:rsid w:val="009909CB"/>
    <w:rsid w:val="00990B08"/>
    <w:rsid w:val="00990C36"/>
    <w:rsid w:val="00990C5C"/>
    <w:rsid w:val="00990E6B"/>
    <w:rsid w:val="00991A5E"/>
    <w:rsid w:val="00991BB5"/>
    <w:rsid w:val="00991DCF"/>
    <w:rsid w:val="00991FB4"/>
    <w:rsid w:val="009920F0"/>
    <w:rsid w:val="00992589"/>
    <w:rsid w:val="00993714"/>
    <w:rsid w:val="0099379A"/>
    <w:rsid w:val="0099418A"/>
    <w:rsid w:val="00994204"/>
    <w:rsid w:val="009943AE"/>
    <w:rsid w:val="00994FE3"/>
    <w:rsid w:val="00995A24"/>
    <w:rsid w:val="00995DB3"/>
    <w:rsid w:val="00996718"/>
    <w:rsid w:val="00996741"/>
    <w:rsid w:val="00996A26"/>
    <w:rsid w:val="00996AD3"/>
    <w:rsid w:val="00997884"/>
    <w:rsid w:val="00997C08"/>
    <w:rsid w:val="009A08F1"/>
    <w:rsid w:val="009A128E"/>
    <w:rsid w:val="009A1793"/>
    <w:rsid w:val="009A17F1"/>
    <w:rsid w:val="009A19BC"/>
    <w:rsid w:val="009A2526"/>
    <w:rsid w:val="009A2C67"/>
    <w:rsid w:val="009A3411"/>
    <w:rsid w:val="009A377D"/>
    <w:rsid w:val="009A3988"/>
    <w:rsid w:val="009A39F5"/>
    <w:rsid w:val="009A3E26"/>
    <w:rsid w:val="009A5A43"/>
    <w:rsid w:val="009A5FCC"/>
    <w:rsid w:val="009A6039"/>
    <w:rsid w:val="009A622E"/>
    <w:rsid w:val="009A62FD"/>
    <w:rsid w:val="009A63C2"/>
    <w:rsid w:val="009A6472"/>
    <w:rsid w:val="009A64C1"/>
    <w:rsid w:val="009A66F4"/>
    <w:rsid w:val="009A70FD"/>
    <w:rsid w:val="009A71B8"/>
    <w:rsid w:val="009A7209"/>
    <w:rsid w:val="009A7550"/>
    <w:rsid w:val="009A799B"/>
    <w:rsid w:val="009A7C16"/>
    <w:rsid w:val="009A7C8F"/>
    <w:rsid w:val="009A7FF9"/>
    <w:rsid w:val="009B00F1"/>
    <w:rsid w:val="009B052D"/>
    <w:rsid w:val="009B05C7"/>
    <w:rsid w:val="009B07C0"/>
    <w:rsid w:val="009B0F31"/>
    <w:rsid w:val="009B125E"/>
    <w:rsid w:val="009B1DB0"/>
    <w:rsid w:val="009B2814"/>
    <w:rsid w:val="009B2FE4"/>
    <w:rsid w:val="009B30E5"/>
    <w:rsid w:val="009B38AC"/>
    <w:rsid w:val="009B39C2"/>
    <w:rsid w:val="009B3C29"/>
    <w:rsid w:val="009B44E3"/>
    <w:rsid w:val="009B4776"/>
    <w:rsid w:val="009B48A4"/>
    <w:rsid w:val="009B4BEA"/>
    <w:rsid w:val="009B4FD1"/>
    <w:rsid w:val="009B5122"/>
    <w:rsid w:val="009B5A30"/>
    <w:rsid w:val="009B5AB5"/>
    <w:rsid w:val="009B5E07"/>
    <w:rsid w:val="009B672F"/>
    <w:rsid w:val="009B6EA5"/>
    <w:rsid w:val="009B6F54"/>
    <w:rsid w:val="009B736D"/>
    <w:rsid w:val="009B7381"/>
    <w:rsid w:val="009B754A"/>
    <w:rsid w:val="009C0A4E"/>
    <w:rsid w:val="009C0CBB"/>
    <w:rsid w:val="009C0F8A"/>
    <w:rsid w:val="009C1595"/>
    <w:rsid w:val="009C173A"/>
    <w:rsid w:val="009C1841"/>
    <w:rsid w:val="009C1951"/>
    <w:rsid w:val="009C1A54"/>
    <w:rsid w:val="009C2085"/>
    <w:rsid w:val="009C274E"/>
    <w:rsid w:val="009C27A5"/>
    <w:rsid w:val="009C2A7A"/>
    <w:rsid w:val="009C33F1"/>
    <w:rsid w:val="009C361E"/>
    <w:rsid w:val="009C3A97"/>
    <w:rsid w:val="009C3DC2"/>
    <w:rsid w:val="009C49F2"/>
    <w:rsid w:val="009C5906"/>
    <w:rsid w:val="009C590D"/>
    <w:rsid w:val="009C5A69"/>
    <w:rsid w:val="009C5EA3"/>
    <w:rsid w:val="009C6ABE"/>
    <w:rsid w:val="009C6BF8"/>
    <w:rsid w:val="009C712E"/>
    <w:rsid w:val="009C72CB"/>
    <w:rsid w:val="009C73C3"/>
    <w:rsid w:val="009C7444"/>
    <w:rsid w:val="009C7D0F"/>
    <w:rsid w:val="009D0756"/>
    <w:rsid w:val="009D0A62"/>
    <w:rsid w:val="009D0E23"/>
    <w:rsid w:val="009D10AA"/>
    <w:rsid w:val="009D1728"/>
    <w:rsid w:val="009D1932"/>
    <w:rsid w:val="009D208B"/>
    <w:rsid w:val="009D21EE"/>
    <w:rsid w:val="009D2EB9"/>
    <w:rsid w:val="009D3014"/>
    <w:rsid w:val="009D30C3"/>
    <w:rsid w:val="009D344C"/>
    <w:rsid w:val="009D3843"/>
    <w:rsid w:val="009D3A83"/>
    <w:rsid w:val="009D3CB8"/>
    <w:rsid w:val="009D3CFE"/>
    <w:rsid w:val="009D40D8"/>
    <w:rsid w:val="009D4224"/>
    <w:rsid w:val="009D43CE"/>
    <w:rsid w:val="009D48DA"/>
    <w:rsid w:val="009D4DCE"/>
    <w:rsid w:val="009D4EBB"/>
    <w:rsid w:val="009D587B"/>
    <w:rsid w:val="009D6145"/>
    <w:rsid w:val="009D6A58"/>
    <w:rsid w:val="009D7054"/>
    <w:rsid w:val="009D766B"/>
    <w:rsid w:val="009D7705"/>
    <w:rsid w:val="009D77D1"/>
    <w:rsid w:val="009D799F"/>
    <w:rsid w:val="009D7B2F"/>
    <w:rsid w:val="009E028E"/>
    <w:rsid w:val="009E05CC"/>
    <w:rsid w:val="009E0A0B"/>
    <w:rsid w:val="009E0B27"/>
    <w:rsid w:val="009E0B2D"/>
    <w:rsid w:val="009E0CF7"/>
    <w:rsid w:val="009E0D0E"/>
    <w:rsid w:val="009E0E0F"/>
    <w:rsid w:val="009E0F6C"/>
    <w:rsid w:val="009E1005"/>
    <w:rsid w:val="009E1074"/>
    <w:rsid w:val="009E1125"/>
    <w:rsid w:val="009E16D4"/>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60B"/>
    <w:rsid w:val="009E6A35"/>
    <w:rsid w:val="009E6A95"/>
    <w:rsid w:val="009E6F27"/>
    <w:rsid w:val="009E7150"/>
    <w:rsid w:val="009E7879"/>
    <w:rsid w:val="009E792D"/>
    <w:rsid w:val="009F0172"/>
    <w:rsid w:val="009F0289"/>
    <w:rsid w:val="009F0F22"/>
    <w:rsid w:val="009F1061"/>
    <w:rsid w:val="009F13E0"/>
    <w:rsid w:val="009F15DB"/>
    <w:rsid w:val="009F246B"/>
    <w:rsid w:val="009F262E"/>
    <w:rsid w:val="009F3311"/>
    <w:rsid w:val="009F35C1"/>
    <w:rsid w:val="009F3CF7"/>
    <w:rsid w:val="009F3ECA"/>
    <w:rsid w:val="009F45EC"/>
    <w:rsid w:val="009F47AE"/>
    <w:rsid w:val="009F48EE"/>
    <w:rsid w:val="009F4A5D"/>
    <w:rsid w:val="009F4AEF"/>
    <w:rsid w:val="009F4BD6"/>
    <w:rsid w:val="009F4DBB"/>
    <w:rsid w:val="009F54D6"/>
    <w:rsid w:val="009F581F"/>
    <w:rsid w:val="009F5D0A"/>
    <w:rsid w:val="009F6180"/>
    <w:rsid w:val="009F6192"/>
    <w:rsid w:val="009F68D0"/>
    <w:rsid w:val="009F6C66"/>
    <w:rsid w:val="009F6C86"/>
    <w:rsid w:val="009F6EB4"/>
    <w:rsid w:val="009F70C9"/>
    <w:rsid w:val="009F7360"/>
    <w:rsid w:val="009F763A"/>
    <w:rsid w:val="00A00402"/>
    <w:rsid w:val="00A00E0A"/>
    <w:rsid w:val="00A00E68"/>
    <w:rsid w:val="00A01495"/>
    <w:rsid w:val="00A01653"/>
    <w:rsid w:val="00A019EC"/>
    <w:rsid w:val="00A0274A"/>
    <w:rsid w:val="00A03BCB"/>
    <w:rsid w:val="00A03C98"/>
    <w:rsid w:val="00A04013"/>
    <w:rsid w:val="00A0449F"/>
    <w:rsid w:val="00A044B1"/>
    <w:rsid w:val="00A04754"/>
    <w:rsid w:val="00A0528D"/>
    <w:rsid w:val="00A05DC1"/>
    <w:rsid w:val="00A05FE6"/>
    <w:rsid w:val="00A060D4"/>
    <w:rsid w:val="00A06830"/>
    <w:rsid w:val="00A068EF"/>
    <w:rsid w:val="00A06B52"/>
    <w:rsid w:val="00A06C45"/>
    <w:rsid w:val="00A072EE"/>
    <w:rsid w:val="00A0766B"/>
    <w:rsid w:val="00A078C2"/>
    <w:rsid w:val="00A07B3C"/>
    <w:rsid w:val="00A10200"/>
    <w:rsid w:val="00A10490"/>
    <w:rsid w:val="00A10934"/>
    <w:rsid w:val="00A11360"/>
    <w:rsid w:val="00A118B6"/>
    <w:rsid w:val="00A1197C"/>
    <w:rsid w:val="00A11F91"/>
    <w:rsid w:val="00A12073"/>
    <w:rsid w:val="00A124F7"/>
    <w:rsid w:val="00A126BD"/>
    <w:rsid w:val="00A12910"/>
    <w:rsid w:val="00A13AB0"/>
    <w:rsid w:val="00A13BB1"/>
    <w:rsid w:val="00A13C58"/>
    <w:rsid w:val="00A14330"/>
    <w:rsid w:val="00A1484C"/>
    <w:rsid w:val="00A14EED"/>
    <w:rsid w:val="00A151F9"/>
    <w:rsid w:val="00A16604"/>
    <w:rsid w:val="00A1667F"/>
    <w:rsid w:val="00A16A55"/>
    <w:rsid w:val="00A16D15"/>
    <w:rsid w:val="00A16EBC"/>
    <w:rsid w:val="00A16EEF"/>
    <w:rsid w:val="00A16F5D"/>
    <w:rsid w:val="00A1707E"/>
    <w:rsid w:val="00A173CF"/>
    <w:rsid w:val="00A175B5"/>
    <w:rsid w:val="00A177DC"/>
    <w:rsid w:val="00A20BA4"/>
    <w:rsid w:val="00A20D26"/>
    <w:rsid w:val="00A214FA"/>
    <w:rsid w:val="00A2173D"/>
    <w:rsid w:val="00A222F9"/>
    <w:rsid w:val="00A2232B"/>
    <w:rsid w:val="00A2287D"/>
    <w:rsid w:val="00A22E25"/>
    <w:rsid w:val="00A2310A"/>
    <w:rsid w:val="00A23356"/>
    <w:rsid w:val="00A23674"/>
    <w:rsid w:val="00A23706"/>
    <w:rsid w:val="00A237FE"/>
    <w:rsid w:val="00A239B2"/>
    <w:rsid w:val="00A23DAE"/>
    <w:rsid w:val="00A248B8"/>
    <w:rsid w:val="00A24C1E"/>
    <w:rsid w:val="00A24EDD"/>
    <w:rsid w:val="00A25085"/>
    <w:rsid w:val="00A25352"/>
    <w:rsid w:val="00A25753"/>
    <w:rsid w:val="00A25824"/>
    <w:rsid w:val="00A25C40"/>
    <w:rsid w:val="00A25FB4"/>
    <w:rsid w:val="00A264E4"/>
    <w:rsid w:val="00A268EC"/>
    <w:rsid w:val="00A26BC4"/>
    <w:rsid w:val="00A27277"/>
    <w:rsid w:val="00A272A2"/>
    <w:rsid w:val="00A27ABB"/>
    <w:rsid w:val="00A27C4D"/>
    <w:rsid w:val="00A2F348"/>
    <w:rsid w:val="00A30132"/>
    <w:rsid w:val="00A304F4"/>
    <w:rsid w:val="00A30E14"/>
    <w:rsid w:val="00A31CA8"/>
    <w:rsid w:val="00A31CEC"/>
    <w:rsid w:val="00A31D10"/>
    <w:rsid w:val="00A325BD"/>
    <w:rsid w:val="00A32D3E"/>
    <w:rsid w:val="00A33418"/>
    <w:rsid w:val="00A34399"/>
    <w:rsid w:val="00A344CC"/>
    <w:rsid w:val="00A346A6"/>
    <w:rsid w:val="00A347AF"/>
    <w:rsid w:val="00A34887"/>
    <w:rsid w:val="00A34A6F"/>
    <w:rsid w:val="00A34D40"/>
    <w:rsid w:val="00A35792"/>
    <w:rsid w:val="00A35873"/>
    <w:rsid w:val="00A359F4"/>
    <w:rsid w:val="00A35D69"/>
    <w:rsid w:val="00A35FCE"/>
    <w:rsid w:val="00A3665B"/>
    <w:rsid w:val="00A369C3"/>
    <w:rsid w:val="00A36B8F"/>
    <w:rsid w:val="00A36ECA"/>
    <w:rsid w:val="00A370A7"/>
    <w:rsid w:val="00A3768B"/>
    <w:rsid w:val="00A37AA3"/>
    <w:rsid w:val="00A40C1A"/>
    <w:rsid w:val="00A40ED3"/>
    <w:rsid w:val="00A411A4"/>
    <w:rsid w:val="00A413E2"/>
    <w:rsid w:val="00A41419"/>
    <w:rsid w:val="00A41536"/>
    <w:rsid w:val="00A4157C"/>
    <w:rsid w:val="00A417B5"/>
    <w:rsid w:val="00A41AF7"/>
    <w:rsid w:val="00A42AD1"/>
    <w:rsid w:val="00A42F21"/>
    <w:rsid w:val="00A43099"/>
    <w:rsid w:val="00A439B2"/>
    <w:rsid w:val="00A43EA3"/>
    <w:rsid w:val="00A44154"/>
    <w:rsid w:val="00A44C9E"/>
    <w:rsid w:val="00A45492"/>
    <w:rsid w:val="00A457D3"/>
    <w:rsid w:val="00A45801"/>
    <w:rsid w:val="00A45B9C"/>
    <w:rsid w:val="00A45CBC"/>
    <w:rsid w:val="00A45CFE"/>
    <w:rsid w:val="00A46055"/>
    <w:rsid w:val="00A46131"/>
    <w:rsid w:val="00A46150"/>
    <w:rsid w:val="00A4625B"/>
    <w:rsid w:val="00A47301"/>
    <w:rsid w:val="00A47579"/>
    <w:rsid w:val="00A47DAB"/>
    <w:rsid w:val="00A47FE3"/>
    <w:rsid w:val="00A5008D"/>
    <w:rsid w:val="00A50B0F"/>
    <w:rsid w:val="00A50D28"/>
    <w:rsid w:val="00A51069"/>
    <w:rsid w:val="00A5134D"/>
    <w:rsid w:val="00A51485"/>
    <w:rsid w:val="00A516F4"/>
    <w:rsid w:val="00A51901"/>
    <w:rsid w:val="00A51B78"/>
    <w:rsid w:val="00A52E7B"/>
    <w:rsid w:val="00A52F13"/>
    <w:rsid w:val="00A5303A"/>
    <w:rsid w:val="00A53079"/>
    <w:rsid w:val="00A540E2"/>
    <w:rsid w:val="00A54286"/>
    <w:rsid w:val="00A5472D"/>
    <w:rsid w:val="00A54815"/>
    <w:rsid w:val="00A549C2"/>
    <w:rsid w:val="00A54A52"/>
    <w:rsid w:val="00A54AE8"/>
    <w:rsid w:val="00A54B4F"/>
    <w:rsid w:val="00A54E52"/>
    <w:rsid w:val="00A55026"/>
    <w:rsid w:val="00A55100"/>
    <w:rsid w:val="00A55104"/>
    <w:rsid w:val="00A55355"/>
    <w:rsid w:val="00A5537F"/>
    <w:rsid w:val="00A557CC"/>
    <w:rsid w:val="00A55AC1"/>
    <w:rsid w:val="00A55C2C"/>
    <w:rsid w:val="00A55FCC"/>
    <w:rsid w:val="00A5620B"/>
    <w:rsid w:val="00A56AE0"/>
    <w:rsid w:val="00A56CDC"/>
    <w:rsid w:val="00A56D2E"/>
    <w:rsid w:val="00A56E38"/>
    <w:rsid w:val="00A57155"/>
    <w:rsid w:val="00A57298"/>
    <w:rsid w:val="00A572CA"/>
    <w:rsid w:val="00A579B9"/>
    <w:rsid w:val="00A604B3"/>
    <w:rsid w:val="00A605A5"/>
    <w:rsid w:val="00A618B5"/>
    <w:rsid w:val="00A61B07"/>
    <w:rsid w:val="00A61B51"/>
    <w:rsid w:val="00A61F4A"/>
    <w:rsid w:val="00A62350"/>
    <w:rsid w:val="00A624FC"/>
    <w:rsid w:val="00A62717"/>
    <w:rsid w:val="00A628D3"/>
    <w:rsid w:val="00A62926"/>
    <w:rsid w:val="00A62E0D"/>
    <w:rsid w:val="00A63273"/>
    <w:rsid w:val="00A63702"/>
    <w:rsid w:val="00A637BE"/>
    <w:rsid w:val="00A63AC2"/>
    <w:rsid w:val="00A63AC6"/>
    <w:rsid w:val="00A63DA7"/>
    <w:rsid w:val="00A63E3F"/>
    <w:rsid w:val="00A63EF4"/>
    <w:rsid w:val="00A64108"/>
    <w:rsid w:val="00A641D0"/>
    <w:rsid w:val="00A64446"/>
    <w:rsid w:val="00A646F5"/>
    <w:rsid w:val="00A64817"/>
    <w:rsid w:val="00A64E24"/>
    <w:rsid w:val="00A65451"/>
    <w:rsid w:val="00A6577A"/>
    <w:rsid w:val="00A65BBA"/>
    <w:rsid w:val="00A662E1"/>
    <w:rsid w:val="00A66754"/>
    <w:rsid w:val="00A66792"/>
    <w:rsid w:val="00A66D45"/>
    <w:rsid w:val="00A671B5"/>
    <w:rsid w:val="00A6721D"/>
    <w:rsid w:val="00A67464"/>
    <w:rsid w:val="00A67F2D"/>
    <w:rsid w:val="00A7056E"/>
    <w:rsid w:val="00A70CB8"/>
    <w:rsid w:val="00A70F2F"/>
    <w:rsid w:val="00A7147C"/>
    <w:rsid w:val="00A716B1"/>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46B"/>
    <w:rsid w:val="00A7557F"/>
    <w:rsid w:val="00A7566B"/>
    <w:rsid w:val="00A757E4"/>
    <w:rsid w:val="00A75971"/>
    <w:rsid w:val="00A75B64"/>
    <w:rsid w:val="00A75EE5"/>
    <w:rsid w:val="00A76091"/>
    <w:rsid w:val="00A7631D"/>
    <w:rsid w:val="00A770F3"/>
    <w:rsid w:val="00A77376"/>
    <w:rsid w:val="00A77789"/>
    <w:rsid w:val="00A778E3"/>
    <w:rsid w:val="00A80008"/>
    <w:rsid w:val="00A800D0"/>
    <w:rsid w:val="00A801B2"/>
    <w:rsid w:val="00A803B3"/>
    <w:rsid w:val="00A8077A"/>
    <w:rsid w:val="00A80A39"/>
    <w:rsid w:val="00A80B09"/>
    <w:rsid w:val="00A81070"/>
    <w:rsid w:val="00A810E0"/>
    <w:rsid w:val="00A81990"/>
    <w:rsid w:val="00A81AA0"/>
    <w:rsid w:val="00A82188"/>
    <w:rsid w:val="00A826BF"/>
    <w:rsid w:val="00A82E9E"/>
    <w:rsid w:val="00A830AF"/>
    <w:rsid w:val="00A836EB"/>
    <w:rsid w:val="00A8387E"/>
    <w:rsid w:val="00A83A63"/>
    <w:rsid w:val="00A83AF7"/>
    <w:rsid w:val="00A841B5"/>
    <w:rsid w:val="00A84206"/>
    <w:rsid w:val="00A84B46"/>
    <w:rsid w:val="00A84D00"/>
    <w:rsid w:val="00A84E17"/>
    <w:rsid w:val="00A8537A"/>
    <w:rsid w:val="00A85AAA"/>
    <w:rsid w:val="00A85D68"/>
    <w:rsid w:val="00A877AF"/>
    <w:rsid w:val="00A87BE6"/>
    <w:rsid w:val="00A87C1C"/>
    <w:rsid w:val="00A87C6B"/>
    <w:rsid w:val="00A87CE1"/>
    <w:rsid w:val="00A90320"/>
    <w:rsid w:val="00A903FE"/>
    <w:rsid w:val="00A907FA"/>
    <w:rsid w:val="00A909FC"/>
    <w:rsid w:val="00A90F8A"/>
    <w:rsid w:val="00A91690"/>
    <w:rsid w:val="00A91F96"/>
    <w:rsid w:val="00A922A2"/>
    <w:rsid w:val="00A9342D"/>
    <w:rsid w:val="00A93F69"/>
    <w:rsid w:val="00A94C35"/>
    <w:rsid w:val="00A95076"/>
    <w:rsid w:val="00A958A4"/>
    <w:rsid w:val="00A95960"/>
    <w:rsid w:val="00A95D41"/>
    <w:rsid w:val="00A96346"/>
    <w:rsid w:val="00A964FB"/>
    <w:rsid w:val="00A966BC"/>
    <w:rsid w:val="00A96731"/>
    <w:rsid w:val="00A96840"/>
    <w:rsid w:val="00A97198"/>
    <w:rsid w:val="00A97262"/>
    <w:rsid w:val="00A97749"/>
    <w:rsid w:val="00A97A54"/>
    <w:rsid w:val="00A97A74"/>
    <w:rsid w:val="00AA00BD"/>
    <w:rsid w:val="00AA0201"/>
    <w:rsid w:val="00AA02AA"/>
    <w:rsid w:val="00AA03D5"/>
    <w:rsid w:val="00AA03E8"/>
    <w:rsid w:val="00AA099E"/>
    <w:rsid w:val="00AA09F0"/>
    <w:rsid w:val="00AA0D81"/>
    <w:rsid w:val="00AA103B"/>
    <w:rsid w:val="00AA16B9"/>
    <w:rsid w:val="00AA1AA4"/>
    <w:rsid w:val="00AA24A5"/>
    <w:rsid w:val="00AA255B"/>
    <w:rsid w:val="00AA2720"/>
    <w:rsid w:val="00AA2B3D"/>
    <w:rsid w:val="00AA3129"/>
    <w:rsid w:val="00AA41DF"/>
    <w:rsid w:val="00AA45A6"/>
    <w:rsid w:val="00AA45BE"/>
    <w:rsid w:val="00AA534D"/>
    <w:rsid w:val="00AA55D5"/>
    <w:rsid w:val="00AA567C"/>
    <w:rsid w:val="00AA60C1"/>
    <w:rsid w:val="00AA6731"/>
    <w:rsid w:val="00AA6F0C"/>
    <w:rsid w:val="00AA7176"/>
    <w:rsid w:val="00AA755B"/>
    <w:rsid w:val="00AA7631"/>
    <w:rsid w:val="00AA76BC"/>
    <w:rsid w:val="00AA7847"/>
    <w:rsid w:val="00AA78FE"/>
    <w:rsid w:val="00AB00D2"/>
    <w:rsid w:val="00AB09D6"/>
    <w:rsid w:val="00AB153C"/>
    <w:rsid w:val="00AB1E5E"/>
    <w:rsid w:val="00AB1ED3"/>
    <w:rsid w:val="00AB295C"/>
    <w:rsid w:val="00AB2D6B"/>
    <w:rsid w:val="00AB2E42"/>
    <w:rsid w:val="00AB33B7"/>
    <w:rsid w:val="00AB3AD8"/>
    <w:rsid w:val="00AB3B1C"/>
    <w:rsid w:val="00AB4237"/>
    <w:rsid w:val="00AB4A83"/>
    <w:rsid w:val="00AB4B66"/>
    <w:rsid w:val="00AB4BD6"/>
    <w:rsid w:val="00AB625F"/>
    <w:rsid w:val="00AB665C"/>
    <w:rsid w:val="00AB6A9D"/>
    <w:rsid w:val="00AB705A"/>
    <w:rsid w:val="00AB73EA"/>
    <w:rsid w:val="00AB74A8"/>
    <w:rsid w:val="00AB7A5C"/>
    <w:rsid w:val="00AB7AC0"/>
    <w:rsid w:val="00AB7D84"/>
    <w:rsid w:val="00AC0775"/>
    <w:rsid w:val="00AC089B"/>
    <w:rsid w:val="00AC0AA6"/>
    <w:rsid w:val="00AC1490"/>
    <w:rsid w:val="00AC1969"/>
    <w:rsid w:val="00AC1B06"/>
    <w:rsid w:val="00AC1C1C"/>
    <w:rsid w:val="00AC1FC4"/>
    <w:rsid w:val="00AC201E"/>
    <w:rsid w:val="00AC2AF8"/>
    <w:rsid w:val="00AC2B90"/>
    <w:rsid w:val="00AC2C08"/>
    <w:rsid w:val="00AC2E1A"/>
    <w:rsid w:val="00AC31A6"/>
    <w:rsid w:val="00AC3A7C"/>
    <w:rsid w:val="00AC4C31"/>
    <w:rsid w:val="00AC4F47"/>
    <w:rsid w:val="00AC51D4"/>
    <w:rsid w:val="00AC5432"/>
    <w:rsid w:val="00AC5438"/>
    <w:rsid w:val="00AC55A2"/>
    <w:rsid w:val="00AC5741"/>
    <w:rsid w:val="00AC57D0"/>
    <w:rsid w:val="00AC5D15"/>
    <w:rsid w:val="00AC5D66"/>
    <w:rsid w:val="00AC5D6F"/>
    <w:rsid w:val="00AC63FD"/>
    <w:rsid w:val="00AC6C8F"/>
    <w:rsid w:val="00AC6EB0"/>
    <w:rsid w:val="00AC73E7"/>
    <w:rsid w:val="00AC771A"/>
    <w:rsid w:val="00AC775D"/>
    <w:rsid w:val="00AC7B26"/>
    <w:rsid w:val="00AC7D23"/>
    <w:rsid w:val="00AC7EB4"/>
    <w:rsid w:val="00AD0172"/>
    <w:rsid w:val="00AD0507"/>
    <w:rsid w:val="00AD0A60"/>
    <w:rsid w:val="00AD0F48"/>
    <w:rsid w:val="00AD1751"/>
    <w:rsid w:val="00AD17EB"/>
    <w:rsid w:val="00AD1958"/>
    <w:rsid w:val="00AD1B76"/>
    <w:rsid w:val="00AD2215"/>
    <w:rsid w:val="00AD22FF"/>
    <w:rsid w:val="00AD2F40"/>
    <w:rsid w:val="00AD2FE6"/>
    <w:rsid w:val="00AD305B"/>
    <w:rsid w:val="00AD3273"/>
    <w:rsid w:val="00AD33EE"/>
    <w:rsid w:val="00AD415E"/>
    <w:rsid w:val="00AD4454"/>
    <w:rsid w:val="00AD4E63"/>
    <w:rsid w:val="00AD4EEE"/>
    <w:rsid w:val="00AD5349"/>
    <w:rsid w:val="00AD55CE"/>
    <w:rsid w:val="00AD5712"/>
    <w:rsid w:val="00AD5AB0"/>
    <w:rsid w:val="00AD5ACD"/>
    <w:rsid w:val="00AD60C4"/>
    <w:rsid w:val="00AD61AE"/>
    <w:rsid w:val="00AD68B7"/>
    <w:rsid w:val="00AD6F59"/>
    <w:rsid w:val="00AD7213"/>
    <w:rsid w:val="00AD72AE"/>
    <w:rsid w:val="00AD7345"/>
    <w:rsid w:val="00AD7886"/>
    <w:rsid w:val="00AD7C45"/>
    <w:rsid w:val="00AE036F"/>
    <w:rsid w:val="00AE0882"/>
    <w:rsid w:val="00AE0B96"/>
    <w:rsid w:val="00AE183F"/>
    <w:rsid w:val="00AE1DD4"/>
    <w:rsid w:val="00AE242A"/>
    <w:rsid w:val="00AE2642"/>
    <w:rsid w:val="00AE29EF"/>
    <w:rsid w:val="00AE29F9"/>
    <w:rsid w:val="00AE32D6"/>
    <w:rsid w:val="00AE35FE"/>
    <w:rsid w:val="00AE39D6"/>
    <w:rsid w:val="00AE3B43"/>
    <w:rsid w:val="00AE3D68"/>
    <w:rsid w:val="00AE3D9F"/>
    <w:rsid w:val="00AE419C"/>
    <w:rsid w:val="00AE42BB"/>
    <w:rsid w:val="00AE47FA"/>
    <w:rsid w:val="00AE524B"/>
    <w:rsid w:val="00AE6234"/>
    <w:rsid w:val="00AE64D0"/>
    <w:rsid w:val="00AE6644"/>
    <w:rsid w:val="00AE676B"/>
    <w:rsid w:val="00AE6963"/>
    <w:rsid w:val="00AE6DEC"/>
    <w:rsid w:val="00AE73EC"/>
    <w:rsid w:val="00AE77E6"/>
    <w:rsid w:val="00AF0268"/>
    <w:rsid w:val="00AF0590"/>
    <w:rsid w:val="00AF0A0A"/>
    <w:rsid w:val="00AF0A9E"/>
    <w:rsid w:val="00AF0B1F"/>
    <w:rsid w:val="00AF0D4F"/>
    <w:rsid w:val="00AF1396"/>
    <w:rsid w:val="00AF24FB"/>
    <w:rsid w:val="00AF280B"/>
    <w:rsid w:val="00AF2D31"/>
    <w:rsid w:val="00AF2EBC"/>
    <w:rsid w:val="00AF2ED4"/>
    <w:rsid w:val="00AF4111"/>
    <w:rsid w:val="00AF46C0"/>
    <w:rsid w:val="00AF4BD2"/>
    <w:rsid w:val="00AF4DB1"/>
    <w:rsid w:val="00AF536D"/>
    <w:rsid w:val="00AF54E0"/>
    <w:rsid w:val="00AF59CC"/>
    <w:rsid w:val="00AF5DE9"/>
    <w:rsid w:val="00AF645E"/>
    <w:rsid w:val="00AF660C"/>
    <w:rsid w:val="00AF6C89"/>
    <w:rsid w:val="00AF6D25"/>
    <w:rsid w:val="00AF6F93"/>
    <w:rsid w:val="00AF7195"/>
    <w:rsid w:val="00AF76BE"/>
    <w:rsid w:val="00AF775B"/>
    <w:rsid w:val="00AF77E3"/>
    <w:rsid w:val="00AF7813"/>
    <w:rsid w:val="00AF7E52"/>
    <w:rsid w:val="00AF7FA4"/>
    <w:rsid w:val="00B0057F"/>
    <w:rsid w:val="00B0063A"/>
    <w:rsid w:val="00B00752"/>
    <w:rsid w:val="00B00B9B"/>
    <w:rsid w:val="00B0173A"/>
    <w:rsid w:val="00B01949"/>
    <w:rsid w:val="00B0194C"/>
    <w:rsid w:val="00B0195E"/>
    <w:rsid w:val="00B01BE3"/>
    <w:rsid w:val="00B01CA6"/>
    <w:rsid w:val="00B020DF"/>
    <w:rsid w:val="00B021DC"/>
    <w:rsid w:val="00B023AB"/>
    <w:rsid w:val="00B02471"/>
    <w:rsid w:val="00B025A5"/>
    <w:rsid w:val="00B0262E"/>
    <w:rsid w:val="00B028ED"/>
    <w:rsid w:val="00B028F4"/>
    <w:rsid w:val="00B02962"/>
    <w:rsid w:val="00B02E1E"/>
    <w:rsid w:val="00B03B65"/>
    <w:rsid w:val="00B03B91"/>
    <w:rsid w:val="00B03FFE"/>
    <w:rsid w:val="00B046C0"/>
    <w:rsid w:val="00B047F1"/>
    <w:rsid w:val="00B04ED4"/>
    <w:rsid w:val="00B052F7"/>
    <w:rsid w:val="00B05560"/>
    <w:rsid w:val="00B05787"/>
    <w:rsid w:val="00B058DB"/>
    <w:rsid w:val="00B058E8"/>
    <w:rsid w:val="00B05D43"/>
    <w:rsid w:val="00B05F4C"/>
    <w:rsid w:val="00B05FB7"/>
    <w:rsid w:val="00B07083"/>
    <w:rsid w:val="00B0741E"/>
    <w:rsid w:val="00B07793"/>
    <w:rsid w:val="00B10322"/>
    <w:rsid w:val="00B103FB"/>
    <w:rsid w:val="00B10AA4"/>
    <w:rsid w:val="00B10AAA"/>
    <w:rsid w:val="00B10B56"/>
    <w:rsid w:val="00B115F4"/>
    <w:rsid w:val="00B11BCC"/>
    <w:rsid w:val="00B11F62"/>
    <w:rsid w:val="00B125F7"/>
    <w:rsid w:val="00B12AE2"/>
    <w:rsid w:val="00B12FAD"/>
    <w:rsid w:val="00B12FB1"/>
    <w:rsid w:val="00B143AE"/>
    <w:rsid w:val="00B15474"/>
    <w:rsid w:val="00B15679"/>
    <w:rsid w:val="00B156D3"/>
    <w:rsid w:val="00B1584C"/>
    <w:rsid w:val="00B159F0"/>
    <w:rsid w:val="00B1629B"/>
    <w:rsid w:val="00B164FD"/>
    <w:rsid w:val="00B16847"/>
    <w:rsid w:val="00B16BAB"/>
    <w:rsid w:val="00B16C92"/>
    <w:rsid w:val="00B17081"/>
    <w:rsid w:val="00B171EC"/>
    <w:rsid w:val="00B176DD"/>
    <w:rsid w:val="00B179DE"/>
    <w:rsid w:val="00B17A06"/>
    <w:rsid w:val="00B17AF9"/>
    <w:rsid w:val="00B17E30"/>
    <w:rsid w:val="00B205F8"/>
    <w:rsid w:val="00B20B36"/>
    <w:rsid w:val="00B20BF6"/>
    <w:rsid w:val="00B21002"/>
    <w:rsid w:val="00B216AD"/>
    <w:rsid w:val="00B21969"/>
    <w:rsid w:val="00B22007"/>
    <w:rsid w:val="00B22036"/>
    <w:rsid w:val="00B2265E"/>
    <w:rsid w:val="00B22A17"/>
    <w:rsid w:val="00B22D31"/>
    <w:rsid w:val="00B23188"/>
    <w:rsid w:val="00B2353F"/>
    <w:rsid w:val="00B236F4"/>
    <w:rsid w:val="00B241ED"/>
    <w:rsid w:val="00B24403"/>
    <w:rsid w:val="00B244BF"/>
    <w:rsid w:val="00B2457C"/>
    <w:rsid w:val="00B2460A"/>
    <w:rsid w:val="00B24C9E"/>
    <w:rsid w:val="00B25250"/>
    <w:rsid w:val="00B2576A"/>
    <w:rsid w:val="00B257A0"/>
    <w:rsid w:val="00B257BF"/>
    <w:rsid w:val="00B2583F"/>
    <w:rsid w:val="00B25F8F"/>
    <w:rsid w:val="00B25FB5"/>
    <w:rsid w:val="00B263A0"/>
    <w:rsid w:val="00B26B11"/>
    <w:rsid w:val="00B26E05"/>
    <w:rsid w:val="00B26F71"/>
    <w:rsid w:val="00B27265"/>
    <w:rsid w:val="00B273BF"/>
    <w:rsid w:val="00B273F7"/>
    <w:rsid w:val="00B2744F"/>
    <w:rsid w:val="00B27B01"/>
    <w:rsid w:val="00B27C34"/>
    <w:rsid w:val="00B27E90"/>
    <w:rsid w:val="00B30574"/>
    <w:rsid w:val="00B305C5"/>
    <w:rsid w:val="00B3121B"/>
    <w:rsid w:val="00B312A8"/>
    <w:rsid w:val="00B3150B"/>
    <w:rsid w:val="00B32209"/>
    <w:rsid w:val="00B3234A"/>
    <w:rsid w:val="00B32586"/>
    <w:rsid w:val="00B3258C"/>
    <w:rsid w:val="00B326E1"/>
    <w:rsid w:val="00B32CBC"/>
    <w:rsid w:val="00B32CCB"/>
    <w:rsid w:val="00B32FE4"/>
    <w:rsid w:val="00B34102"/>
    <w:rsid w:val="00B3412E"/>
    <w:rsid w:val="00B3463D"/>
    <w:rsid w:val="00B347AB"/>
    <w:rsid w:val="00B34A5F"/>
    <w:rsid w:val="00B34B66"/>
    <w:rsid w:val="00B34C54"/>
    <w:rsid w:val="00B34C55"/>
    <w:rsid w:val="00B34F2F"/>
    <w:rsid w:val="00B34FF8"/>
    <w:rsid w:val="00B3533C"/>
    <w:rsid w:val="00B353A6"/>
    <w:rsid w:val="00B354C5"/>
    <w:rsid w:val="00B3553D"/>
    <w:rsid w:val="00B3565F"/>
    <w:rsid w:val="00B35802"/>
    <w:rsid w:val="00B35B98"/>
    <w:rsid w:val="00B35C03"/>
    <w:rsid w:val="00B35D44"/>
    <w:rsid w:val="00B36046"/>
    <w:rsid w:val="00B362B7"/>
    <w:rsid w:val="00B37820"/>
    <w:rsid w:val="00B37C0E"/>
    <w:rsid w:val="00B37CA7"/>
    <w:rsid w:val="00B402B8"/>
    <w:rsid w:val="00B40884"/>
    <w:rsid w:val="00B40CD3"/>
    <w:rsid w:val="00B41EC6"/>
    <w:rsid w:val="00B42284"/>
    <w:rsid w:val="00B42353"/>
    <w:rsid w:val="00B42962"/>
    <w:rsid w:val="00B42F98"/>
    <w:rsid w:val="00B43596"/>
    <w:rsid w:val="00B43862"/>
    <w:rsid w:val="00B43FDA"/>
    <w:rsid w:val="00B4441B"/>
    <w:rsid w:val="00B445D0"/>
    <w:rsid w:val="00B448E2"/>
    <w:rsid w:val="00B45A91"/>
    <w:rsid w:val="00B46068"/>
    <w:rsid w:val="00B46079"/>
    <w:rsid w:val="00B46127"/>
    <w:rsid w:val="00B4638E"/>
    <w:rsid w:val="00B46390"/>
    <w:rsid w:val="00B4639E"/>
    <w:rsid w:val="00B4645C"/>
    <w:rsid w:val="00B46AF2"/>
    <w:rsid w:val="00B502B2"/>
    <w:rsid w:val="00B50646"/>
    <w:rsid w:val="00B5066E"/>
    <w:rsid w:val="00B51006"/>
    <w:rsid w:val="00B51435"/>
    <w:rsid w:val="00B51C15"/>
    <w:rsid w:val="00B51CAC"/>
    <w:rsid w:val="00B522D9"/>
    <w:rsid w:val="00B52306"/>
    <w:rsid w:val="00B52313"/>
    <w:rsid w:val="00B524DC"/>
    <w:rsid w:val="00B52760"/>
    <w:rsid w:val="00B527B3"/>
    <w:rsid w:val="00B52B6D"/>
    <w:rsid w:val="00B52FD1"/>
    <w:rsid w:val="00B533C2"/>
    <w:rsid w:val="00B53660"/>
    <w:rsid w:val="00B53828"/>
    <w:rsid w:val="00B53907"/>
    <w:rsid w:val="00B539EF"/>
    <w:rsid w:val="00B53C4B"/>
    <w:rsid w:val="00B54721"/>
    <w:rsid w:val="00B54832"/>
    <w:rsid w:val="00B54B0A"/>
    <w:rsid w:val="00B54F4C"/>
    <w:rsid w:val="00B55372"/>
    <w:rsid w:val="00B5547F"/>
    <w:rsid w:val="00B555B5"/>
    <w:rsid w:val="00B559E0"/>
    <w:rsid w:val="00B55FC2"/>
    <w:rsid w:val="00B56241"/>
    <w:rsid w:val="00B565D7"/>
    <w:rsid w:val="00B57035"/>
    <w:rsid w:val="00B57632"/>
    <w:rsid w:val="00B5774F"/>
    <w:rsid w:val="00B57BE4"/>
    <w:rsid w:val="00B57D70"/>
    <w:rsid w:val="00B57D9A"/>
    <w:rsid w:val="00B57DBE"/>
    <w:rsid w:val="00B600EE"/>
    <w:rsid w:val="00B6011E"/>
    <w:rsid w:val="00B6038E"/>
    <w:rsid w:val="00B608FA"/>
    <w:rsid w:val="00B6092D"/>
    <w:rsid w:val="00B60C96"/>
    <w:rsid w:val="00B60F60"/>
    <w:rsid w:val="00B612DC"/>
    <w:rsid w:val="00B61A40"/>
    <w:rsid w:val="00B61D9B"/>
    <w:rsid w:val="00B61EB9"/>
    <w:rsid w:val="00B61FFF"/>
    <w:rsid w:val="00B62B99"/>
    <w:rsid w:val="00B62CC5"/>
    <w:rsid w:val="00B62FD5"/>
    <w:rsid w:val="00B63408"/>
    <w:rsid w:val="00B63779"/>
    <w:rsid w:val="00B63845"/>
    <w:rsid w:val="00B63896"/>
    <w:rsid w:val="00B63A19"/>
    <w:rsid w:val="00B63C35"/>
    <w:rsid w:val="00B63D87"/>
    <w:rsid w:val="00B6410E"/>
    <w:rsid w:val="00B64299"/>
    <w:rsid w:val="00B648EA"/>
    <w:rsid w:val="00B64AAB"/>
    <w:rsid w:val="00B64BB0"/>
    <w:rsid w:val="00B64FE8"/>
    <w:rsid w:val="00B650F8"/>
    <w:rsid w:val="00B65758"/>
    <w:rsid w:val="00B65A28"/>
    <w:rsid w:val="00B65E10"/>
    <w:rsid w:val="00B66433"/>
    <w:rsid w:val="00B66941"/>
    <w:rsid w:val="00B66F8B"/>
    <w:rsid w:val="00B6770B"/>
    <w:rsid w:val="00B67953"/>
    <w:rsid w:val="00B70188"/>
    <w:rsid w:val="00B7068E"/>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6A9"/>
    <w:rsid w:val="00B73802"/>
    <w:rsid w:val="00B73B86"/>
    <w:rsid w:val="00B73D6B"/>
    <w:rsid w:val="00B73D8E"/>
    <w:rsid w:val="00B73E42"/>
    <w:rsid w:val="00B73F5F"/>
    <w:rsid w:val="00B7403C"/>
    <w:rsid w:val="00B74389"/>
    <w:rsid w:val="00B74D89"/>
    <w:rsid w:val="00B752A4"/>
    <w:rsid w:val="00B758BC"/>
    <w:rsid w:val="00B75DC7"/>
    <w:rsid w:val="00B75FD6"/>
    <w:rsid w:val="00B760E9"/>
    <w:rsid w:val="00B76812"/>
    <w:rsid w:val="00B76A19"/>
    <w:rsid w:val="00B76C1F"/>
    <w:rsid w:val="00B77442"/>
    <w:rsid w:val="00B77465"/>
    <w:rsid w:val="00B774DA"/>
    <w:rsid w:val="00B80053"/>
    <w:rsid w:val="00B807C0"/>
    <w:rsid w:val="00B80DD1"/>
    <w:rsid w:val="00B80F4D"/>
    <w:rsid w:val="00B80FFA"/>
    <w:rsid w:val="00B811B6"/>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90319"/>
    <w:rsid w:val="00B9058D"/>
    <w:rsid w:val="00B90B55"/>
    <w:rsid w:val="00B915F8"/>
    <w:rsid w:val="00B91674"/>
    <w:rsid w:val="00B924D9"/>
    <w:rsid w:val="00B92670"/>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6337"/>
    <w:rsid w:val="00B96562"/>
    <w:rsid w:val="00B969EF"/>
    <w:rsid w:val="00B96C71"/>
    <w:rsid w:val="00B96C95"/>
    <w:rsid w:val="00B96F42"/>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A68"/>
    <w:rsid w:val="00BA1CFD"/>
    <w:rsid w:val="00BA265C"/>
    <w:rsid w:val="00BA2961"/>
    <w:rsid w:val="00BA2C87"/>
    <w:rsid w:val="00BA2F91"/>
    <w:rsid w:val="00BA30B2"/>
    <w:rsid w:val="00BA320A"/>
    <w:rsid w:val="00BA3226"/>
    <w:rsid w:val="00BA361E"/>
    <w:rsid w:val="00BA3E49"/>
    <w:rsid w:val="00BA3EFE"/>
    <w:rsid w:val="00BA43CE"/>
    <w:rsid w:val="00BA487F"/>
    <w:rsid w:val="00BA4DD6"/>
    <w:rsid w:val="00BA5343"/>
    <w:rsid w:val="00BA57F9"/>
    <w:rsid w:val="00BA584F"/>
    <w:rsid w:val="00BA62E7"/>
    <w:rsid w:val="00BA63A0"/>
    <w:rsid w:val="00BA6AF3"/>
    <w:rsid w:val="00BA6B1D"/>
    <w:rsid w:val="00BA6D7A"/>
    <w:rsid w:val="00BA6F24"/>
    <w:rsid w:val="00BA6FF5"/>
    <w:rsid w:val="00BA70E4"/>
    <w:rsid w:val="00BA7D84"/>
    <w:rsid w:val="00BA7E5C"/>
    <w:rsid w:val="00BB009D"/>
    <w:rsid w:val="00BB1403"/>
    <w:rsid w:val="00BB206E"/>
    <w:rsid w:val="00BB2364"/>
    <w:rsid w:val="00BB2A5A"/>
    <w:rsid w:val="00BB2D85"/>
    <w:rsid w:val="00BB2F57"/>
    <w:rsid w:val="00BB316E"/>
    <w:rsid w:val="00BB3790"/>
    <w:rsid w:val="00BB3DEF"/>
    <w:rsid w:val="00BB3F5E"/>
    <w:rsid w:val="00BB4013"/>
    <w:rsid w:val="00BB497A"/>
    <w:rsid w:val="00BB49EF"/>
    <w:rsid w:val="00BB4AA7"/>
    <w:rsid w:val="00BB4B52"/>
    <w:rsid w:val="00BB4CAB"/>
    <w:rsid w:val="00BB4EAC"/>
    <w:rsid w:val="00BB4EAF"/>
    <w:rsid w:val="00BB53BC"/>
    <w:rsid w:val="00BB59C5"/>
    <w:rsid w:val="00BB6523"/>
    <w:rsid w:val="00BB67EE"/>
    <w:rsid w:val="00BB6EA1"/>
    <w:rsid w:val="00BB7821"/>
    <w:rsid w:val="00BB78E2"/>
    <w:rsid w:val="00BB7E7A"/>
    <w:rsid w:val="00BB7F73"/>
    <w:rsid w:val="00BC02E2"/>
    <w:rsid w:val="00BC0808"/>
    <w:rsid w:val="00BC082C"/>
    <w:rsid w:val="00BC0BCC"/>
    <w:rsid w:val="00BC0E2F"/>
    <w:rsid w:val="00BC10BE"/>
    <w:rsid w:val="00BC11EE"/>
    <w:rsid w:val="00BC14D7"/>
    <w:rsid w:val="00BC15C3"/>
    <w:rsid w:val="00BC1660"/>
    <w:rsid w:val="00BC1672"/>
    <w:rsid w:val="00BC2804"/>
    <w:rsid w:val="00BC28A0"/>
    <w:rsid w:val="00BC2C79"/>
    <w:rsid w:val="00BC2E60"/>
    <w:rsid w:val="00BC2F5C"/>
    <w:rsid w:val="00BC3003"/>
    <w:rsid w:val="00BC3700"/>
    <w:rsid w:val="00BC3715"/>
    <w:rsid w:val="00BC4178"/>
    <w:rsid w:val="00BC418B"/>
    <w:rsid w:val="00BC4576"/>
    <w:rsid w:val="00BC4703"/>
    <w:rsid w:val="00BC4871"/>
    <w:rsid w:val="00BC488F"/>
    <w:rsid w:val="00BC4913"/>
    <w:rsid w:val="00BC4997"/>
    <w:rsid w:val="00BC5482"/>
    <w:rsid w:val="00BC58CC"/>
    <w:rsid w:val="00BC599E"/>
    <w:rsid w:val="00BC5B47"/>
    <w:rsid w:val="00BC5E94"/>
    <w:rsid w:val="00BC72CF"/>
    <w:rsid w:val="00BC73DC"/>
    <w:rsid w:val="00BC745D"/>
    <w:rsid w:val="00BC753A"/>
    <w:rsid w:val="00BD008F"/>
    <w:rsid w:val="00BD0234"/>
    <w:rsid w:val="00BD0431"/>
    <w:rsid w:val="00BD0B60"/>
    <w:rsid w:val="00BD14A6"/>
    <w:rsid w:val="00BD1586"/>
    <w:rsid w:val="00BD17AA"/>
    <w:rsid w:val="00BD1EF6"/>
    <w:rsid w:val="00BD2101"/>
    <w:rsid w:val="00BD24EC"/>
    <w:rsid w:val="00BD2F86"/>
    <w:rsid w:val="00BD30D0"/>
    <w:rsid w:val="00BD31FA"/>
    <w:rsid w:val="00BD361C"/>
    <w:rsid w:val="00BD3898"/>
    <w:rsid w:val="00BD4A4A"/>
    <w:rsid w:val="00BD4AF9"/>
    <w:rsid w:val="00BD4EC0"/>
    <w:rsid w:val="00BD5355"/>
    <w:rsid w:val="00BD564D"/>
    <w:rsid w:val="00BD5941"/>
    <w:rsid w:val="00BD5973"/>
    <w:rsid w:val="00BD5A7B"/>
    <w:rsid w:val="00BD5CCB"/>
    <w:rsid w:val="00BD6654"/>
    <w:rsid w:val="00BD67EF"/>
    <w:rsid w:val="00BD6BB8"/>
    <w:rsid w:val="00BD72C2"/>
    <w:rsid w:val="00BD75BB"/>
    <w:rsid w:val="00BD79FF"/>
    <w:rsid w:val="00BD7C5A"/>
    <w:rsid w:val="00BE0197"/>
    <w:rsid w:val="00BE0825"/>
    <w:rsid w:val="00BE0EB5"/>
    <w:rsid w:val="00BE252E"/>
    <w:rsid w:val="00BE25DE"/>
    <w:rsid w:val="00BE2705"/>
    <w:rsid w:val="00BE279D"/>
    <w:rsid w:val="00BE2C47"/>
    <w:rsid w:val="00BE2D86"/>
    <w:rsid w:val="00BE2F23"/>
    <w:rsid w:val="00BE31F7"/>
    <w:rsid w:val="00BE32C0"/>
    <w:rsid w:val="00BE337A"/>
    <w:rsid w:val="00BE33C7"/>
    <w:rsid w:val="00BE4C5B"/>
    <w:rsid w:val="00BE5176"/>
    <w:rsid w:val="00BE579F"/>
    <w:rsid w:val="00BE5B63"/>
    <w:rsid w:val="00BE607B"/>
    <w:rsid w:val="00BE6259"/>
    <w:rsid w:val="00BE62CB"/>
    <w:rsid w:val="00BE6AE0"/>
    <w:rsid w:val="00BE6C82"/>
    <w:rsid w:val="00BE6D26"/>
    <w:rsid w:val="00BE70DA"/>
    <w:rsid w:val="00BE73F4"/>
    <w:rsid w:val="00BE750A"/>
    <w:rsid w:val="00BE782E"/>
    <w:rsid w:val="00BE7845"/>
    <w:rsid w:val="00BE7CA3"/>
    <w:rsid w:val="00BE7CF9"/>
    <w:rsid w:val="00BE7DBD"/>
    <w:rsid w:val="00BF01D5"/>
    <w:rsid w:val="00BF01F0"/>
    <w:rsid w:val="00BF04A7"/>
    <w:rsid w:val="00BF09AB"/>
    <w:rsid w:val="00BF0BEA"/>
    <w:rsid w:val="00BF0E55"/>
    <w:rsid w:val="00BF0FD5"/>
    <w:rsid w:val="00BF148B"/>
    <w:rsid w:val="00BF149C"/>
    <w:rsid w:val="00BF1DB2"/>
    <w:rsid w:val="00BF23DC"/>
    <w:rsid w:val="00BF3221"/>
    <w:rsid w:val="00BF3D51"/>
    <w:rsid w:val="00BF4102"/>
    <w:rsid w:val="00BF437E"/>
    <w:rsid w:val="00BF4415"/>
    <w:rsid w:val="00BF4680"/>
    <w:rsid w:val="00BF4832"/>
    <w:rsid w:val="00BF48BA"/>
    <w:rsid w:val="00BF4A01"/>
    <w:rsid w:val="00BF5401"/>
    <w:rsid w:val="00BF57BC"/>
    <w:rsid w:val="00BF5871"/>
    <w:rsid w:val="00BF5F6C"/>
    <w:rsid w:val="00BF60D0"/>
    <w:rsid w:val="00BF611C"/>
    <w:rsid w:val="00BF652E"/>
    <w:rsid w:val="00BF6652"/>
    <w:rsid w:val="00BF6A6D"/>
    <w:rsid w:val="00BF7346"/>
    <w:rsid w:val="00BF7BB7"/>
    <w:rsid w:val="00BF7F55"/>
    <w:rsid w:val="00C00095"/>
    <w:rsid w:val="00C00325"/>
    <w:rsid w:val="00C005ED"/>
    <w:rsid w:val="00C00891"/>
    <w:rsid w:val="00C00BEA"/>
    <w:rsid w:val="00C010B4"/>
    <w:rsid w:val="00C01142"/>
    <w:rsid w:val="00C013B3"/>
    <w:rsid w:val="00C01510"/>
    <w:rsid w:val="00C019D7"/>
    <w:rsid w:val="00C020CC"/>
    <w:rsid w:val="00C021D6"/>
    <w:rsid w:val="00C02263"/>
    <w:rsid w:val="00C02300"/>
    <w:rsid w:val="00C02938"/>
    <w:rsid w:val="00C030AD"/>
    <w:rsid w:val="00C031F8"/>
    <w:rsid w:val="00C035C6"/>
    <w:rsid w:val="00C04421"/>
    <w:rsid w:val="00C0485A"/>
    <w:rsid w:val="00C04A0E"/>
    <w:rsid w:val="00C04A30"/>
    <w:rsid w:val="00C04B00"/>
    <w:rsid w:val="00C05054"/>
    <w:rsid w:val="00C05F2C"/>
    <w:rsid w:val="00C06346"/>
    <w:rsid w:val="00C066B2"/>
    <w:rsid w:val="00C067C8"/>
    <w:rsid w:val="00C06898"/>
    <w:rsid w:val="00C06B15"/>
    <w:rsid w:val="00C06F0A"/>
    <w:rsid w:val="00C070DB"/>
    <w:rsid w:val="00C0778D"/>
    <w:rsid w:val="00C0792E"/>
    <w:rsid w:val="00C07F90"/>
    <w:rsid w:val="00C106D8"/>
    <w:rsid w:val="00C10964"/>
    <w:rsid w:val="00C10AA0"/>
    <w:rsid w:val="00C10C79"/>
    <w:rsid w:val="00C11019"/>
    <w:rsid w:val="00C11584"/>
    <w:rsid w:val="00C11A9C"/>
    <w:rsid w:val="00C12642"/>
    <w:rsid w:val="00C12778"/>
    <w:rsid w:val="00C129AD"/>
    <w:rsid w:val="00C12B18"/>
    <w:rsid w:val="00C131D9"/>
    <w:rsid w:val="00C1323A"/>
    <w:rsid w:val="00C134D1"/>
    <w:rsid w:val="00C142B3"/>
    <w:rsid w:val="00C14F32"/>
    <w:rsid w:val="00C14FB4"/>
    <w:rsid w:val="00C158E2"/>
    <w:rsid w:val="00C15AC9"/>
    <w:rsid w:val="00C15BDB"/>
    <w:rsid w:val="00C15E0C"/>
    <w:rsid w:val="00C15F2E"/>
    <w:rsid w:val="00C1620C"/>
    <w:rsid w:val="00C163D2"/>
    <w:rsid w:val="00C16464"/>
    <w:rsid w:val="00C16E0C"/>
    <w:rsid w:val="00C16F87"/>
    <w:rsid w:val="00C1708E"/>
    <w:rsid w:val="00C17133"/>
    <w:rsid w:val="00C17A5C"/>
    <w:rsid w:val="00C17DFE"/>
    <w:rsid w:val="00C17EFD"/>
    <w:rsid w:val="00C204EF"/>
    <w:rsid w:val="00C20FC5"/>
    <w:rsid w:val="00C211F5"/>
    <w:rsid w:val="00C217EC"/>
    <w:rsid w:val="00C21D16"/>
    <w:rsid w:val="00C21D48"/>
    <w:rsid w:val="00C21E1F"/>
    <w:rsid w:val="00C220EC"/>
    <w:rsid w:val="00C222FF"/>
    <w:rsid w:val="00C2263A"/>
    <w:rsid w:val="00C226CD"/>
    <w:rsid w:val="00C2287E"/>
    <w:rsid w:val="00C22973"/>
    <w:rsid w:val="00C23239"/>
    <w:rsid w:val="00C23C5E"/>
    <w:rsid w:val="00C240EE"/>
    <w:rsid w:val="00C240F6"/>
    <w:rsid w:val="00C244C5"/>
    <w:rsid w:val="00C2491D"/>
    <w:rsid w:val="00C249D3"/>
    <w:rsid w:val="00C24B9B"/>
    <w:rsid w:val="00C24C16"/>
    <w:rsid w:val="00C25AE4"/>
    <w:rsid w:val="00C26839"/>
    <w:rsid w:val="00C26A9B"/>
    <w:rsid w:val="00C27120"/>
    <w:rsid w:val="00C2760D"/>
    <w:rsid w:val="00C277D0"/>
    <w:rsid w:val="00C2780F"/>
    <w:rsid w:val="00C27B1B"/>
    <w:rsid w:val="00C27D98"/>
    <w:rsid w:val="00C27E57"/>
    <w:rsid w:val="00C27EF9"/>
    <w:rsid w:val="00C3014D"/>
    <w:rsid w:val="00C30373"/>
    <w:rsid w:val="00C30732"/>
    <w:rsid w:val="00C30A31"/>
    <w:rsid w:val="00C30A41"/>
    <w:rsid w:val="00C30AC7"/>
    <w:rsid w:val="00C3125A"/>
    <w:rsid w:val="00C31350"/>
    <w:rsid w:val="00C3179F"/>
    <w:rsid w:val="00C31821"/>
    <w:rsid w:val="00C31D51"/>
    <w:rsid w:val="00C31E07"/>
    <w:rsid w:val="00C32366"/>
    <w:rsid w:val="00C32419"/>
    <w:rsid w:val="00C3247D"/>
    <w:rsid w:val="00C327AE"/>
    <w:rsid w:val="00C32D00"/>
    <w:rsid w:val="00C3336D"/>
    <w:rsid w:val="00C340AF"/>
    <w:rsid w:val="00C34498"/>
    <w:rsid w:val="00C347DD"/>
    <w:rsid w:val="00C34C5D"/>
    <w:rsid w:val="00C34D53"/>
    <w:rsid w:val="00C34D65"/>
    <w:rsid w:val="00C359F3"/>
    <w:rsid w:val="00C35CC4"/>
    <w:rsid w:val="00C36259"/>
    <w:rsid w:val="00C3628F"/>
    <w:rsid w:val="00C36295"/>
    <w:rsid w:val="00C36506"/>
    <w:rsid w:val="00C367B7"/>
    <w:rsid w:val="00C370D8"/>
    <w:rsid w:val="00C3785D"/>
    <w:rsid w:val="00C37C64"/>
    <w:rsid w:val="00C37EB4"/>
    <w:rsid w:val="00C40020"/>
    <w:rsid w:val="00C401B1"/>
    <w:rsid w:val="00C40B61"/>
    <w:rsid w:val="00C40C9C"/>
    <w:rsid w:val="00C412F0"/>
    <w:rsid w:val="00C41872"/>
    <w:rsid w:val="00C41AB0"/>
    <w:rsid w:val="00C42128"/>
    <w:rsid w:val="00C42320"/>
    <w:rsid w:val="00C423CD"/>
    <w:rsid w:val="00C426D3"/>
    <w:rsid w:val="00C428D9"/>
    <w:rsid w:val="00C42A0C"/>
    <w:rsid w:val="00C42D2A"/>
    <w:rsid w:val="00C42D40"/>
    <w:rsid w:val="00C43033"/>
    <w:rsid w:val="00C432D6"/>
    <w:rsid w:val="00C437C8"/>
    <w:rsid w:val="00C439F1"/>
    <w:rsid w:val="00C43A2B"/>
    <w:rsid w:val="00C440FE"/>
    <w:rsid w:val="00C44AAC"/>
    <w:rsid w:val="00C44F3E"/>
    <w:rsid w:val="00C450F7"/>
    <w:rsid w:val="00C45403"/>
    <w:rsid w:val="00C456E7"/>
    <w:rsid w:val="00C4574A"/>
    <w:rsid w:val="00C45B7B"/>
    <w:rsid w:val="00C46020"/>
    <w:rsid w:val="00C46033"/>
    <w:rsid w:val="00C465E9"/>
    <w:rsid w:val="00C4687A"/>
    <w:rsid w:val="00C46EBB"/>
    <w:rsid w:val="00C471B1"/>
    <w:rsid w:val="00C47282"/>
    <w:rsid w:val="00C473FE"/>
    <w:rsid w:val="00C47665"/>
    <w:rsid w:val="00C47C02"/>
    <w:rsid w:val="00C47EE6"/>
    <w:rsid w:val="00C502E7"/>
    <w:rsid w:val="00C5089A"/>
    <w:rsid w:val="00C50B5E"/>
    <w:rsid w:val="00C50C4D"/>
    <w:rsid w:val="00C5111D"/>
    <w:rsid w:val="00C5142E"/>
    <w:rsid w:val="00C524EA"/>
    <w:rsid w:val="00C52BE2"/>
    <w:rsid w:val="00C52DEA"/>
    <w:rsid w:val="00C52EB5"/>
    <w:rsid w:val="00C52F96"/>
    <w:rsid w:val="00C53568"/>
    <w:rsid w:val="00C53618"/>
    <w:rsid w:val="00C538F8"/>
    <w:rsid w:val="00C53B59"/>
    <w:rsid w:val="00C53C60"/>
    <w:rsid w:val="00C53D46"/>
    <w:rsid w:val="00C53EC6"/>
    <w:rsid w:val="00C53F45"/>
    <w:rsid w:val="00C53F80"/>
    <w:rsid w:val="00C5466C"/>
    <w:rsid w:val="00C54CF8"/>
    <w:rsid w:val="00C55131"/>
    <w:rsid w:val="00C55135"/>
    <w:rsid w:val="00C556DB"/>
    <w:rsid w:val="00C55A32"/>
    <w:rsid w:val="00C563FB"/>
    <w:rsid w:val="00C56B46"/>
    <w:rsid w:val="00C56CD9"/>
    <w:rsid w:val="00C5721E"/>
    <w:rsid w:val="00C57486"/>
    <w:rsid w:val="00C578C7"/>
    <w:rsid w:val="00C57E13"/>
    <w:rsid w:val="00C57FE3"/>
    <w:rsid w:val="00C60FF0"/>
    <w:rsid w:val="00C613AD"/>
    <w:rsid w:val="00C61B9E"/>
    <w:rsid w:val="00C620BC"/>
    <w:rsid w:val="00C628FD"/>
    <w:rsid w:val="00C62986"/>
    <w:rsid w:val="00C62E21"/>
    <w:rsid w:val="00C62EDF"/>
    <w:rsid w:val="00C63D94"/>
    <w:rsid w:val="00C6405E"/>
    <w:rsid w:val="00C64133"/>
    <w:rsid w:val="00C647A4"/>
    <w:rsid w:val="00C64CDD"/>
    <w:rsid w:val="00C64E42"/>
    <w:rsid w:val="00C65099"/>
    <w:rsid w:val="00C650B3"/>
    <w:rsid w:val="00C65531"/>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75D"/>
    <w:rsid w:val="00C70B66"/>
    <w:rsid w:val="00C70E64"/>
    <w:rsid w:val="00C7216F"/>
    <w:rsid w:val="00C723C5"/>
    <w:rsid w:val="00C725A1"/>
    <w:rsid w:val="00C725BF"/>
    <w:rsid w:val="00C7261B"/>
    <w:rsid w:val="00C72851"/>
    <w:rsid w:val="00C72A1C"/>
    <w:rsid w:val="00C7398D"/>
    <w:rsid w:val="00C73F62"/>
    <w:rsid w:val="00C73FC2"/>
    <w:rsid w:val="00C74021"/>
    <w:rsid w:val="00C762AC"/>
    <w:rsid w:val="00C76558"/>
    <w:rsid w:val="00C76667"/>
    <w:rsid w:val="00C7670A"/>
    <w:rsid w:val="00C76E27"/>
    <w:rsid w:val="00C76E62"/>
    <w:rsid w:val="00C76F71"/>
    <w:rsid w:val="00C770A5"/>
    <w:rsid w:val="00C777FC"/>
    <w:rsid w:val="00C80177"/>
    <w:rsid w:val="00C808A9"/>
    <w:rsid w:val="00C8097A"/>
    <w:rsid w:val="00C809BE"/>
    <w:rsid w:val="00C80C21"/>
    <w:rsid w:val="00C81155"/>
    <w:rsid w:val="00C81346"/>
    <w:rsid w:val="00C81381"/>
    <w:rsid w:val="00C814C5"/>
    <w:rsid w:val="00C81992"/>
    <w:rsid w:val="00C81AA9"/>
    <w:rsid w:val="00C81EDA"/>
    <w:rsid w:val="00C81F39"/>
    <w:rsid w:val="00C82221"/>
    <w:rsid w:val="00C827CC"/>
    <w:rsid w:val="00C82807"/>
    <w:rsid w:val="00C82B37"/>
    <w:rsid w:val="00C83449"/>
    <w:rsid w:val="00C834B6"/>
    <w:rsid w:val="00C8373B"/>
    <w:rsid w:val="00C83AD1"/>
    <w:rsid w:val="00C83C86"/>
    <w:rsid w:val="00C846E3"/>
    <w:rsid w:val="00C84732"/>
    <w:rsid w:val="00C84C50"/>
    <w:rsid w:val="00C8503D"/>
    <w:rsid w:val="00C85B17"/>
    <w:rsid w:val="00C85B5D"/>
    <w:rsid w:val="00C85E0D"/>
    <w:rsid w:val="00C86052"/>
    <w:rsid w:val="00C863B3"/>
    <w:rsid w:val="00C86650"/>
    <w:rsid w:val="00C86759"/>
    <w:rsid w:val="00C86FED"/>
    <w:rsid w:val="00C87351"/>
    <w:rsid w:val="00C87653"/>
    <w:rsid w:val="00C879AF"/>
    <w:rsid w:val="00C87CB1"/>
    <w:rsid w:val="00C90067"/>
    <w:rsid w:val="00C90285"/>
    <w:rsid w:val="00C90612"/>
    <w:rsid w:val="00C90614"/>
    <w:rsid w:val="00C90787"/>
    <w:rsid w:val="00C90D97"/>
    <w:rsid w:val="00C9125C"/>
    <w:rsid w:val="00C912FC"/>
    <w:rsid w:val="00C918A1"/>
    <w:rsid w:val="00C921ED"/>
    <w:rsid w:val="00C923C5"/>
    <w:rsid w:val="00C92727"/>
    <w:rsid w:val="00C93375"/>
    <w:rsid w:val="00C937CB"/>
    <w:rsid w:val="00C9390B"/>
    <w:rsid w:val="00C939E4"/>
    <w:rsid w:val="00C93C61"/>
    <w:rsid w:val="00C943DD"/>
    <w:rsid w:val="00C94479"/>
    <w:rsid w:val="00C94492"/>
    <w:rsid w:val="00C94BEA"/>
    <w:rsid w:val="00C94C78"/>
    <w:rsid w:val="00C95117"/>
    <w:rsid w:val="00C9529A"/>
    <w:rsid w:val="00C95373"/>
    <w:rsid w:val="00C9579C"/>
    <w:rsid w:val="00C957BE"/>
    <w:rsid w:val="00C959B3"/>
    <w:rsid w:val="00C96BEC"/>
    <w:rsid w:val="00C97066"/>
    <w:rsid w:val="00C973AB"/>
    <w:rsid w:val="00C97750"/>
    <w:rsid w:val="00C977F8"/>
    <w:rsid w:val="00CA020C"/>
    <w:rsid w:val="00CA0D3A"/>
    <w:rsid w:val="00CA13C3"/>
    <w:rsid w:val="00CA386A"/>
    <w:rsid w:val="00CA3ADC"/>
    <w:rsid w:val="00CA3BF3"/>
    <w:rsid w:val="00CA3C32"/>
    <w:rsid w:val="00CA3D99"/>
    <w:rsid w:val="00CA3ED1"/>
    <w:rsid w:val="00CA4284"/>
    <w:rsid w:val="00CA4A11"/>
    <w:rsid w:val="00CA4A2D"/>
    <w:rsid w:val="00CA4A73"/>
    <w:rsid w:val="00CA4D97"/>
    <w:rsid w:val="00CA4E04"/>
    <w:rsid w:val="00CA555B"/>
    <w:rsid w:val="00CA57DF"/>
    <w:rsid w:val="00CA6A92"/>
    <w:rsid w:val="00CA6D0B"/>
    <w:rsid w:val="00CA6D38"/>
    <w:rsid w:val="00CA7224"/>
    <w:rsid w:val="00CA74DA"/>
    <w:rsid w:val="00CA75F1"/>
    <w:rsid w:val="00CA7671"/>
    <w:rsid w:val="00CA7E3B"/>
    <w:rsid w:val="00CB041E"/>
    <w:rsid w:val="00CB15D8"/>
    <w:rsid w:val="00CB18AC"/>
    <w:rsid w:val="00CB1CE0"/>
    <w:rsid w:val="00CB20F4"/>
    <w:rsid w:val="00CB23C6"/>
    <w:rsid w:val="00CB2503"/>
    <w:rsid w:val="00CB2D10"/>
    <w:rsid w:val="00CB3005"/>
    <w:rsid w:val="00CB3319"/>
    <w:rsid w:val="00CB3548"/>
    <w:rsid w:val="00CB3777"/>
    <w:rsid w:val="00CB3EEA"/>
    <w:rsid w:val="00CB4286"/>
    <w:rsid w:val="00CB4387"/>
    <w:rsid w:val="00CB4467"/>
    <w:rsid w:val="00CB45E1"/>
    <w:rsid w:val="00CB4B81"/>
    <w:rsid w:val="00CB58AA"/>
    <w:rsid w:val="00CB5CC9"/>
    <w:rsid w:val="00CB64D1"/>
    <w:rsid w:val="00CB692D"/>
    <w:rsid w:val="00CB6A77"/>
    <w:rsid w:val="00CB6A7D"/>
    <w:rsid w:val="00CB7322"/>
    <w:rsid w:val="00CC0039"/>
    <w:rsid w:val="00CC00E2"/>
    <w:rsid w:val="00CC10CE"/>
    <w:rsid w:val="00CC12B6"/>
    <w:rsid w:val="00CC1606"/>
    <w:rsid w:val="00CC1C4B"/>
    <w:rsid w:val="00CC1E7A"/>
    <w:rsid w:val="00CC252D"/>
    <w:rsid w:val="00CC2AC5"/>
    <w:rsid w:val="00CC2C10"/>
    <w:rsid w:val="00CC2C42"/>
    <w:rsid w:val="00CC2DB2"/>
    <w:rsid w:val="00CC36DA"/>
    <w:rsid w:val="00CC3801"/>
    <w:rsid w:val="00CC40E5"/>
    <w:rsid w:val="00CC4B4D"/>
    <w:rsid w:val="00CC5029"/>
    <w:rsid w:val="00CC5472"/>
    <w:rsid w:val="00CC5558"/>
    <w:rsid w:val="00CC57C9"/>
    <w:rsid w:val="00CC592E"/>
    <w:rsid w:val="00CC59B9"/>
    <w:rsid w:val="00CC5D57"/>
    <w:rsid w:val="00CC5E57"/>
    <w:rsid w:val="00CC62BA"/>
    <w:rsid w:val="00CC70D1"/>
    <w:rsid w:val="00CC729E"/>
    <w:rsid w:val="00CC7667"/>
    <w:rsid w:val="00CC7ADB"/>
    <w:rsid w:val="00CD0282"/>
    <w:rsid w:val="00CD0A82"/>
    <w:rsid w:val="00CD0D65"/>
    <w:rsid w:val="00CD1C04"/>
    <w:rsid w:val="00CD1DB0"/>
    <w:rsid w:val="00CD1F62"/>
    <w:rsid w:val="00CD20AF"/>
    <w:rsid w:val="00CD2248"/>
    <w:rsid w:val="00CD2477"/>
    <w:rsid w:val="00CD2773"/>
    <w:rsid w:val="00CD2E64"/>
    <w:rsid w:val="00CD3F82"/>
    <w:rsid w:val="00CD4205"/>
    <w:rsid w:val="00CD4522"/>
    <w:rsid w:val="00CD45EC"/>
    <w:rsid w:val="00CD46BE"/>
    <w:rsid w:val="00CD5342"/>
    <w:rsid w:val="00CD574C"/>
    <w:rsid w:val="00CD57C2"/>
    <w:rsid w:val="00CD72A8"/>
    <w:rsid w:val="00CD7797"/>
    <w:rsid w:val="00CD78FE"/>
    <w:rsid w:val="00CD7AAD"/>
    <w:rsid w:val="00CD7C04"/>
    <w:rsid w:val="00CD7C54"/>
    <w:rsid w:val="00CD7CD8"/>
    <w:rsid w:val="00CE004D"/>
    <w:rsid w:val="00CE02B2"/>
    <w:rsid w:val="00CE0A2C"/>
    <w:rsid w:val="00CE13E1"/>
    <w:rsid w:val="00CE1CF0"/>
    <w:rsid w:val="00CE1D91"/>
    <w:rsid w:val="00CE1EB3"/>
    <w:rsid w:val="00CE2257"/>
    <w:rsid w:val="00CE299A"/>
    <w:rsid w:val="00CE3066"/>
    <w:rsid w:val="00CE4139"/>
    <w:rsid w:val="00CE4429"/>
    <w:rsid w:val="00CE4688"/>
    <w:rsid w:val="00CE47FD"/>
    <w:rsid w:val="00CE50F2"/>
    <w:rsid w:val="00CE60D0"/>
    <w:rsid w:val="00CE619A"/>
    <w:rsid w:val="00CE6665"/>
    <w:rsid w:val="00CE69E9"/>
    <w:rsid w:val="00CE6A47"/>
    <w:rsid w:val="00CE6A74"/>
    <w:rsid w:val="00CE6B7D"/>
    <w:rsid w:val="00CE7151"/>
    <w:rsid w:val="00CE7174"/>
    <w:rsid w:val="00CE736B"/>
    <w:rsid w:val="00CE7502"/>
    <w:rsid w:val="00CE770E"/>
    <w:rsid w:val="00CE7D10"/>
    <w:rsid w:val="00CF00A2"/>
    <w:rsid w:val="00CF0576"/>
    <w:rsid w:val="00CF0947"/>
    <w:rsid w:val="00CF09ED"/>
    <w:rsid w:val="00CF0A3B"/>
    <w:rsid w:val="00CF117D"/>
    <w:rsid w:val="00CF1236"/>
    <w:rsid w:val="00CF130C"/>
    <w:rsid w:val="00CF14B7"/>
    <w:rsid w:val="00CF1D98"/>
    <w:rsid w:val="00CF1F02"/>
    <w:rsid w:val="00CF206F"/>
    <w:rsid w:val="00CF253F"/>
    <w:rsid w:val="00CF3168"/>
    <w:rsid w:val="00CF32FB"/>
    <w:rsid w:val="00CF340B"/>
    <w:rsid w:val="00CF379F"/>
    <w:rsid w:val="00CF37F9"/>
    <w:rsid w:val="00CF392B"/>
    <w:rsid w:val="00CF392D"/>
    <w:rsid w:val="00CF3A93"/>
    <w:rsid w:val="00CF3E25"/>
    <w:rsid w:val="00CF448A"/>
    <w:rsid w:val="00CF457A"/>
    <w:rsid w:val="00CF4776"/>
    <w:rsid w:val="00CF4A96"/>
    <w:rsid w:val="00CF56A2"/>
    <w:rsid w:val="00CF6159"/>
    <w:rsid w:val="00CF633A"/>
    <w:rsid w:val="00CF641F"/>
    <w:rsid w:val="00CF66C5"/>
    <w:rsid w:val="00CF6BF4"/>
    <w:rsid w:val="00CF76B7"/>
    <w:rsid w:val="00CF7F13"/>
    <w:rsid w:val="00D00073"/>
    <w:rsid w:val="00D00194"/>
    <w:rsid w:val="00D00254"/>
    <w:rsid w:val="00D00609"/>
    <w:rsid w:val="00D00F0E"/>
    <w:rsid w:val="00D0170F"/>
    <w:rsid w:val="00D017BF"/>
    <w:rsid w:val="00D02D45"/>
    <w:rsid w:val="00D02DC5"/>
    <w:rsid w:val="00D02E16"/>
    <w:rsid w:val="00D03075"/>
    <w:rsid w:val="00D03584"/>
    <w:rsid w:val="00D03B6B"/>
    <w:rsid w:val="00D04871"/>
    <w:rsid w:val="00D04FD5"/>
    <w:rsid w:val="00D053B9"/>
    <w:rsid w:val="00D05711"/>
    <w:rsid w:val="00D0571B"/>
    <w:rsid w:val="00D060A7"/>
    <w:rsid w:val="00D060CE"/>
    <w:rsid w:val="00D06390"/>
    <w:rsid w:val="00D063B6"/>
    <w:rsid w:val="00D06CCE"/>
    <w:rsid w:val="00D06D0E"/>
    <w:rsid w:val="00D07228"/>
    <w:rsid w:val="00D072D0"/>
    <w:rsid w:val="00D078F7"/>
    <w:rsid w:val="00D07DEC"/>
    <w:rsid w:val="00D10592"/>
    <w:rsid w:val="00D105AD"/>
    <w:rsid w:val="00D10948"/>
    <w:rsid w:val="00D10960"/>
    <w:rsid w:val="00D10E4B"/>
    <w:rsid w:val="00D10FD3"/>
    <w:rsid w:val="00D1118B"/>
    <w:rsid w:val="00D11619"/>
    <w:rsid w:val="00D118E2"/>
    <w:rsid w:val="00D11D77"/>
    <w:rsid w:val="00D13903"/>
    <w:rsid w:val="00D1393E"/>
    <w:rsid w:val="00D139FA"/>
    <w:rsid w:val="00D13A68"/>
    <w:rsid w:val="00D1419C"/>
    <w:rsid w:val="00D15273"/>
    <w:rsid w:val="00D1535E"/>
    <w:rsid w:val="00D15AD5"/>
    <w:rsid w:val="00D169A5"/>
    <w:rsid w:val="00D17BDD"/>
    <w:rsid w:val="00D205F7"/>
    <w:rsid w:val="00D206DD"/>
    <w:rsid w:val="00D20BC5"/>
    <w:rsid w:val="00D21320"/>
    <w:rsid w:val="00D2177B"/>
    <w:rsid w:val="00D2180D"/>
    <w:rsid w:val="00D21B18"/>
    <w:rsid w:val="00D21F7D"/>
    <w:rsid w:val="00D225F1"/>
    <w:rsid w:val="00D2268D"/>
    <w:rsid w:val="00D22792"/>
    <w:rsid w:val="00D22A2D"/>
    <w:rsid w:val="00D23AC6"/>
    <w:rsid w:val="00D23CF6"/>
    <w:rsid w:val="00D2482C"/>
    <w:rsid w:val="00D24E4B"/>
    <w:rsid w:val="00D24E9D"/>
    <w:rsid w:val="00D24F09"/>
    <w:rsid w:val="00D25067"/>
    <w:rsid w:val="00D254D5"/>
    <w:rsid w:val="00D25CD3"/>
    <w:rsid w:val="00D25DCC"/>
    <w:rsid w:val="00D25E4E"/>
    <w:rsid w:val="00D26280"/>
    <w:rsid w:val="00D26540"/>
    <w:rsid w:val="00D26AA2"/>
    <w:rsid w:val="00D26BBA"/>
    <w:rsid w:val="00D275AF"/>
    <w:rsid w:val="00D27644"/>
    <w:rsid w:val="00D27998"/>
    <w:rsid w:val="00D279B9"/>
    <w:rsid w:val="00D27D63"/>
    <w:rsid w:val="00D306BA"/>
    <w:rsid w:val="00D30877"/>
    <w:rsid w:val="00D30B15"/>
    <w:rsid w:val="00D3103F"/>
    <w:rsid w:val="00D31694"/>
    <w:rsid w:val="00D3199E"/>
    <w:rsid w:val="00D31C0D"/>
    <w:rsid w:val="00D320F9"/>
    <w:rsid w:val="00D3219D"/>
    <w:rsid w:val="00D32368"/>
    <w:rsid w:val="00D32404"/>
    <w:rsid w:val="00D32AD5"/>
    <w:rsid w:val="00D32E75"/>
    <w:rsid w:val="00D32FEC"/>
    <w:rsid w:val="00D333BD"/>
    <w:rsid w:val="00D33410"/>
    <w:rsid w:val="00D3418D"/>
    <w:rsid w:val="00D3468F"/>
    <w:rsid w:val="00D349F1"/>
    <w:rsid w:val="00D34CDC"/>
    <w:rsid w:val="00D351ED"/>
    <w:rsid w:val="00D35AFA"/>
    <w:rsid w:val="00D35C28"/>
    <w:rsid w:val="00D36078"/>
    <w:rsid w:val="00D3618D"/>
    <w:rsid w:val="00D364D0"/>
    <w:rsid w:val="00D36749"/>
    <w:rsid w:val="00D367CB"/>
    <w:rsid w:val="00D36827"/>
    <w:rsid w:val="00D36B28"/>
    <w:rsid w:val="00D36EB9"/>
    <w:rsid w:val="00D37300"/>
    <w:rsid w:val="00D37928"/>
    <w:rsid w:val="00D37C21"/>
    <w:rsid w:val="00D37DB6"/>
    <w:rsid w:val="00D400AF"/>
    <w:rsid w:val="00D4016D"/>
    <w:rsid w:val="00D4021E"/>
    <w:rsid w:val="00D40678"/>
    <w:rsid w:val="00D408C9"/>
    <w:rsid w:val="00D40DEC"/>
    <w:rsid w:val="00D4130D"/>
    <w:rsid w:val="00D41574"/>
    <w:rsid w:val="00D415BB"/>
    <w:rsid w:val="00D415D3"/>
    <w:rsid w:val="00D41844"/>
    <w:rsid w:val="00D41B52"/>
    <w:rsid w:val="00D41B9C"/>
    <w:rsid w:val="00D42527"/>
    <w:rsid w:val="00D425EC"/>
    <w:rsid w:val="00D42C9A"/>
    <w:rsid w:val="00D43252"/>
    <w:rsid w:val="00D43372"/>
    <w:rsid w:val="00D433F2"/>
    <w:rsid w:val="00D435E2"/>
    <w:rsid w:val="00D43735"/>
    <w:rsid w:val="00D43D8E"/>
    <w:rsid w:val="00D43DFC"/>
    <w:rsid w:val="00D43F6F"/>
    <w:rsid w:val="00D440F0"/>
    <w:rsid w:val="00D44F07"/>
    <w:rsid w:val="00D4506D"/>
    <w:rsid w:val="00D459AC"/>
    <w:rsid w:val="00D45C50"/>
    <w:rsid w:val="00D45C71"/>
    <w:rsid w:val="00D45DAA"/>
    <w:rsid w:val="00D46172"/>
    <w:rsid w:val="00D462BB"/>
    <w:rsid w:val="00D46624"/>
    <w:rsid w:val="00D467F7"/>
    <w:rsid w:val="00D46AF4"/>
    <w:rsid w:val="00D46EB2"/>
    <w:rsid w:val="00D474CC"/>
    <w:rsid w:val="00D475A3"/>
    <w:rsid w:val="00D47A2C"/>
    <w:rsid w:val="00D47F84"/>
    <w:rsid w:val="00D5012F"/>
    <w:rsid w:val="00D5031A"/>
    <w:rsid w:val="00D504A1"/>
    <w:rsid w:val="00D508CE"/>
    <w:rsid w:val="00D511F9"/>
    <w:rsid w:val="00D51B59"/>
    <w:rsid w:val="00D51C21"/>
    <w:rsid w:val="00D51D4A"/>
    <w:rsid w:val="00D5237E"/>
    <w:rsid w:val="00D5243D"/>
    <w:rsid w:val="00D52D24"/>
    <w:rsid w:val="00D52FBD"/>
    <w:rsid w:val="00D530E9"/>
    <w:rsid w:val="00D53291"/>
    <w:rsid w:val="00D5354F"/>
    <w:rsid w:val="00D53931"/>
    <w:rsid w:val="00D53B93"/>
    <w:rsid w:val="00D53E61"/>
    <w:rsid w:val="00D541B5"/>
    <w:rsid w:val="00D547F1"/>
    <w:rsid w:val="00D54DEB"/>
    <w:rsid w:val="00D54FC1"/>
    <w:rsid w:val="00D5542E"/>
    <w:rsid w:val="00D554B0"/>
    <w:rsid w:val="00D55588"/>
    <w:rsid w:val="00D55AC6"/>
    <w:rsid w:val="00D55CCE"/>
    <w:rsid w:val="00D55EA9"/>
    <w:rsid w:val="00D562BC"/>
    <w:rsid w:val="00D565BC"/>
    <w:rsid w:val="00D56B26"/>
    <w:rsid w:val="00D5702C"/>
    <w:rsid w:val="00D576CB"/>
    <w:rsid w:val="00D57A61"/>
    <w:rsid w:val="00D60A4C"/>
    <w:rsid w:val="00D613CE"/>
    <w:rsid w:val="00D61B68"/>
    <w:rsid w:val="00D621DC"/>
    <w:rsid w:val="00D623D0"/>
    <w:rsid w:val="00D624FA"/>
    <w:rsid w:val="00D626F0"/>
    <w:rsid w:val="00D62848"/>
    <w:rsid w:val="00D6312D"/>
    <w:rsid w:val="00D63A53"/>
    <w:rsid w:val="00D63EFF"/>
    <w:rsid w:val="00D640CB"/>
    <w:rsid w:val="00D64AE8"/>
    <w:rsid w:val="00D64B1E"/>
    <w:rsid w:val="00D64B2E"/>
    <w:rsid w:val="00D651C8"/>
    <w:rsid w:val="00D654D1"/>
    <w:rsid w:val="00D65571"/>
    <w:rsid w:val="00D65B65"/>
    <w:rsid w:val="00D65C09"/>
    <w:rsid w:val="00D6651A"/>
    <w:rsid w:val="00D6727E"/>
    <w:rsid w:val="00D67637"/>
    <w:rsid w:val="00D67DBB"/>
    <w:rsid w:val="00D67F89"/>
    <w:rsid w:val="00D70173"/>
    <w:rsid w:val="00D705E1"/>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44E2"/>
    <w:rsid w:val="00D74529"/>
    <w:rsid w:val="00D746D2"/>
    <w:rsid w:val="00D74E1B"/>
    <w:rsid w:val="00D74F16"/>
    <w:rsid w:val="00D75187"/>
    <w:rsid w:val="00D751D1"/>
    <w:rsid w:val="00D75566"/>
    <w:rsid w:val="00D75BE3"/>
    <w:rsid w:val="00D76263"/>
    <w:rsid w:val="00D76325"/>
    <w:rsid w:val="00D766B6"/>
    <w:rsid w:val="00D76895"/>
    <w:rsid w:val="00D768CC"/>
    <w:rsid w:val="00D769C8"/>
    <w:rsid w:val="00D76A55"/>
    <w:rsid w:val="00D77134"/>
    <w:rsid w:val="00D7784A"/>
    <w:rsid w:val="00D77C5F"/>
    <w:rsid w:val="00D77F7A"/>
    <w:rsid w:val="00D77FB9"/>
    <w:rsid w:val="00D808D9"/>
    <w:rsid w:val="00D80D63"/>
    <w:rsid w:val="00D8114C"/>
    <w:rsid w:val="00D814D0"/>
    <w:rsid w:val="00D830B9"/>
    <w:rsid w:val="00D83577"/>
    <w:rsid w:val="00D83732"/>
    <w:rsid w:val="00D83BDA"/>
    <w:rsid w:val="00D848CC"/>
    <w:rsid w:val="00D85D84"/>
    <w:rsid w:val="00D860B5"/>
    <w:rsid w:val="00D8631D"/>
    <w:rsid w:val="00D86478"/>
    <w:rsid w:val="00D86542"/>
    <w:rsid w:val="00D8694E"/>
    <w:rsid w:val="00D86A1A"/>
    <w:rsid w:val="00D870F8"/>
    <w:rsid w:val="00D87831"/>
    <w:rsid w:val="00D87ED6"/>
    <w:rsid w:val="00D87FA2"/>
    <w:rsid w:val="00D90471"/>
    <w:rsid w:val="00D9055F"/>
    <w:rsid w:val="00D90CB3"/>
    <w:rsid w:val="00D90F92"/>
    <w:rsid w:val="00D91828"/>
    <w:rsid w:val="00D91AEE"/>
    <w:rsid w:val="00D91DBB"/>
    <w:rsid w:val="00D92665"/>
    <w:rsid w:val="00D9282F"/>
    <w:rsid w:val="00D936B6"/>
    <w:rsid w:val="00D93BA3"/>
    <w:rsid w:val="00D93C73"/>
    <w:rsid w:val="00D93D0C"/>
    <w:rsid w:val="00D93D50"/>
    <w:rsid w:val="00D93EC2"/>
    <w:rsid w:val="00D94120"/>
    <w:rsid w:val="00D943CD"/>
    <w:rsid w:val="00D944B5"/>
    <w:rsid w:val="00D9467B"/>
    <w:rsid w:val="00D946EA"/>
    <w:rsid w:val="00D94912"/>
    <w:rsid w:val="00D94D55"/>
    <w:rsid w:val="00D94DFD"/>
    <w:rsid w:val="00D94FFD"/>
    <w:rsid w:val="00D9543E"/>
    <w:rsid w:val="00D96B77"/>
    <w:rsid w:val="00D96E3E"/>
    <w:rsid w:val="00D96F4C"/>
    <w:rsid w:val="00D97978"/>
    <w:rsid w:val="00D979D6"/>
    <w:rsid w:val="00D979EC"/>
    <w:rsid w:val="00D97A00"/>
    <w:rsid w:val="00D97A14"/>
    <w:rsid w:val="00D97AA9"/>
    <w:rsid w:val="00D97FC8"/>
    <w:rsid w:val="00DA00FD"/>
    <w:rsid w:val="00DA025F"/>
    <w:rsid w:val="00DA03CE"/>
    <w:rsid w:val="00DA0429"/>
    <w:rsid w:val="00DA04E7"/>
    <w:rsid w:val="00DA059A"/>
    <w:rsid w:val="00DA1091"/>
    <w:rsid w:val="00DA14EE"/>
    <w:rsid w:val="00DA1524"/>
    <w:rsid w:val="00DA1855"/>
    <w:rsid w:val="00DA1961"/>
    <w:rsid w:val="00DA1BF9"/>
    <w:rsid w:val="00DA1E7B"/>
    <w:rsid w:val="00DA1FB4"/>
    <w:rsid w:val="00DA28DE"/>
    <w:rsid w:val="00DA2904"/>
    <w:rsid w:val="00DA2C31"/>
    <w:rsid w:val="00DA2DAC"/>
    <w:rsid w:val="00DA36F4"/>
    <w:rsid w:val="00DA37D7"/>
    <w:rsid w:val="00DA3987"/>
    <w:rsid w:val="00DA3B3C"/>
    <w:rsid w:val="00DA3E77"/>
    <w:rsid w:val="00DA4FF0"/>
    <w:rsid w:val="00DA54C3"/>
    <w:rsid w:val="00DA5F23"/>
    <w:rsid w:val="00DA5F72"/>
    <w:rsid w:val="00DA6120"/>
    <w:rsid w:val="00DA65BD"/>
    <w:rsid w:val="00DA663E"/>
    <w:rsid w:val="00DA666A"/>
    <w:rsid w:val="00DA6726"/>
    <w:rsid w:val="00DA6756"/>
    <w:rsid w:val="00DA6F19"/>
    <w:rsid w:val="00DA70DD"/>
    <w:rsid w:val="00DA787C"/>
    <w:rsid w:val="00DA7C31"/>
    <w:rsid w:val="00DA7CFA"/>
    <w:rsid w:val="00DA7D70"/>
    <w:rsid w:val="00DA7E73"/>
    <w:rsid w:val="00DA7FE3"/>
    <w:rsid w:val="00DB0159"/>
    <w:rsid w:val="00DB0E10"/>
    <w:rsid w:val="00DB1566"/>
    <w:rsid w:val="00DB16D5"/>
    <w:rsid w:val="00DB1851"/>
    <w:rsid w:val="00DB2020"/>
    <w:rsid w:val="00DB22B4"/>
    <w:rsid w:val="00DB2C8B"/>
    <w:rsid w:val="00DB3492"/>
    <w:rsid w:val="00DB353A"/>
    <w:rsid w:val="00DB3608"/>
    <w:rsid w:val="00DB398B"/>
    <w:rsid w:val="00DB39BD"/>
    <w:rsid w:val="00DB3AE6"/>
    <w:rsid w:val="00DB4B60"/>
    <w:rsid w:val="00DB4E0D"/>
    <w:rsid w:val="00DB4F40"/>
    <w:rsid w:val="00DB4F8F"/>
    <w:rsid w:val="00DB5266"/>
    <w:rsid w:val="00DB566B"/>
    <w:rsid w:val="00DB5FD0"/>
    <w:rsid w:val="00DB6625"/>
    <w:rsid w:val="00DB6BD7"/>
    <w:rsid w:val="00DB6D95"/>
    <w:rsid w:val="00DB76E2"/>
    <w:rsid w:val="00DB7762"/>
    <w:rsid w:val="00DB7C90"/>
    <w:rsid w:val="00DB7EC6"/>
    <w:rsid w:val="00DC0403"/>
    <w:rsid w:val="00DC08C8"/>
    <w:rsid w:val="00DC0D51"/>
    <w:rsid w:val="00DC1269"/>
    <w:rsid w:val="00DC1315"/>
    <w:rsid w:val="00DC1704"/>
    <w:rsid w:val="00DC17B3"/>
    <w:rsid w:val="00DC1875"/>
    <w:rsid w:val="00DC1A2B"/>
    <w:rsid w:val="00DC1AEB"/>
    <w:rsid w:val="00DC1E37"/>
    <w:rsid w:val="00DC1F09"/>
    <w:rsid w:val="00DC2727"/>
    <w:rsid w:val="00DC27B2"/>
    <w:rsid w:val="00DC2856"/>
    <w:rsid w:val="00DC28A8"/>
    <w:rsid w:val="00DC2921"/>
    <w:rsid w:val="00DC3178"/>
    <w:rsid w:val="00DC3279"/>
    <w:rsid w:val="00DC32C7"/>
    <w:rsid w:val="00DC402B"/>
    <w:rsid w:val="00DC4842"/>
    <w:rsid w:val="00DC4F3E"/>
    <w:rsid w:val="00DC50F9"/>
    <w:rsid w:val="00DC5254"/>
    <w:rsid w:val="00DC5E25"/>
    <w:rsid w:val="00DC66F7"/>
    <w:rsid w:val="00DC679F"/>
    <w:rsid w:val="00DC6800"/>
    <w:rsid w:val="00DC68CD"/>
    <w:rsid w:val="00DC6AFF"/>
    <w:rsid w:val="00DC6B4B"/>
    <w:rsid w:val="00DC6E43"/>
    <w:rsid w:val="00DC6FC4"/>
    <w:rsid w:val="00DC7F66"/>
    <w:rsid w:val="00DC7FDE"/>
    <w:rsid w:val="00DD01DF"/>
    <w:rsid w:val="00DD0280"/>
    <w:rsid w:val="00DD04B6"/>
    <w:rsid w:val="00DD04E8"/>
    <w:rsid w:val="00DD0BF5"/>
    <w:rsid w:val="00DD0D6F"/>
    <w:rsid w:val="00DD10EF"/>
    <w:rsid w:val="00DD12AF"/>
    <w:rsid w:val="00DD1F22"/>
    <w:rsid w:val="00DD2076"/>
    <w:rsid w:val="00DD21E1"/>
    <w:rsid w:val="00DD26FC"/>
    <w:rsid w:val="00DD28D6"/>
    <w:rsid w:val="00DD2E37"/>
    <w:rsid w:val="00DD33CE"/>
    <w:rsid w:val="00DD3DA5"/>
    <w:rsid w:val="00DD41C7"/>
    <w:rsid w:val="00DD41F4"/>
    <w:rsid w:val="00DD447B"/>
    <w:rsid w:val="00DD4718"/>
    <w:rsid w:val="00DD4BAA"/>
    <w:rsid w:val="00DD4E6A"/>
    <w:rsid w:val="00DD4E72"/>
    <w:rsid w:val="00DD4E86"/>
    <w:rsid w:val="00DD5410"/>
    <w:rsid w:val="00DD61D9"/>
    <w:rsid w:val="00DD69E3"/>
    <w:rsid w:val="00DD6A92"/>
    <w:rsid w:val="00DD6B00"/>
    <w:rsid w:val="00DD6B1E"/>
    <w:rsid w:val="00DD6BD4"/>
    <w:rsid w:val="00DD6F4D"/>
    <w:rsid w:val="00DD7390"/>
    <w:rsid w:val="00DD73E5"/>
    <w:rsid w:val="00DD7851"/>
    <w:rsid w:val="00DE03EE"/>
    <w:rsid w:val="00DE050E"/>
    <w:rsid w:val="00DE1924"/>
    <w:rsid w:val="00DE1E8C"/>
    <w:rsid w:val="00DE2122"/>
    <w:rsid w:val="00DE2A45"/>
    <w:rsid w:val="00DE2CC1"/>
    <w:rsid w:val="00DE3181"/>
    <w:rsid w:val="00DE41A0"/>
    <w:rsid w:val="00DE43C3"/>
    <w:rsid w:val="00DE4BC1"/>
    <w:rsid w:val="00DE4C50"/>
    <w:rsid w:val="00DE4E38"/>
    <w:rsid w:val="00DE57C9"/>
    <w:rsid w:val="00DE5C78"/>
    <w:rsid w:val="00DE5CE2"/>
    <w:rsid w:val="00DE5F9B"/>
    <w:rsid w:val="00DE62DF"/>
    <w:rsid w:val="00DE6480"/>
    <w:rsid w:val="00DE6555"/>
    <w:rsid w:val="00DE6B7C"/>
    <w:rsid w:val="00DE7ABD"/>
    <w:rsid w:val="00DF06B0"/>
    <w:rsid w:val="00DF12D3"/>
    <w:rsid w:val="00DF1892"/>
    <w:rsid w:val="00DF1C4A"/>
    <w:rsid w:val="00DF26E9"/>
    <w:rsid w:val="00DF27C3"/>
    <w:rsid w:val="00DF29F7"/>
    <w:rsid w:val="00DF2A19"/>
    <w:rsid w:val="00DF2EA7"/>
    <w:rsid w:val="00DF355C"/>
    <w:rsid w:val="00DF3634"/>
    <w:rsid w:val="00DF47B7"/>
    <w:rsid w:val="00DF4B4D"/>
    <w:rsid w:val="00DF4DA7"/>
    <w:rsid w:val="00DF50DA"/>
    <w:rsid w:val="00DF54A0"/>
    <w:rsid w:val="00DF559E"/>
    <w:rsid w:val="00DF562C"/>
    <w:rsid w:val="00DF57C0"/>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7D0"/>
    <w:rsid w:val="00E00AD2"/>
    <w:rsid w:val="00E00CF3"/>
    <w:rsid w:val="00E01015"/>
    <w:rsid w:val="00E015B9"/>
    <w:rsid w:val="00E01ED5"/>
    <w:rsid w:val="00E021AE"/>
    <w:rsid w:val="00E0230F"/>
    <w:rsid w:val="00E027B0"/>
    <w:rsid w:val="00E02B4D"/>
    <w:rsid w:val="00E030F2"/>
    <w:rsid w:val="00E03180"/>
    <w:rsid w:val="00E032DD"/>
    <w:rsid w:val="00E03502"/>
    <w:rsid w:val="00E0366E"/>
    <w:rsid w:val="00E03E4C"/>
    <w:rsid w:val="00E0459B"/>
    <w:rsid w:val="00E04C7F"/>
    <w:rsid w:val="00E05A96"/>
    <w:rsid w:val="00E05EDD"/>
    <w:rsid w:val="00E06340"/>
    <w:rsid w:val="00E0665F"/>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20BC"/>
    <w:rsid w:val="00E12344"/>
    <w:rsid w:val="00E12357"/>
    <w:rsid w:val="00E127B7"/>
    <w:rsid w:val="00E12CB8"/>
    <w:rsid w:val="00E12CE4"/>
    <w:rsid w:val="00E12D66"/>
    <w:rsid w:val="00E13082"/>
    <w:rsid w:val="00E13620"/>
    <w:rsid w:val="00E13873"/>
    <w:rsid w:val="00E1490F"/>
    <w:rsid w:val="00E15325"/>
    <w:rsid w:val="00E158C8"/>
    <w:rsid w:val="00E158D1"/>
    <w:rsid w:val="00E15D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30C"/>
    <w:rsid w:val="00E216C4"/>
    <w:rsid w:val="00E218A3"/>
    <w:rsid w:val="00E219C5"/>
    <w:rsid w:val="00E225BA"/>
    <w:rsid w:val="00E22CA2"/>
    <w:rsid w:val="00E22CB7"/>
    <w:rsid w:val="00E22D4B"/>
    <w:rsid w:val="00E2382F"/>
    <w:rsid w:val="00E23A88"/>
    <w:rsid w:val="00E24371"/>
    <w:rsid w:val="00E243BE"/>
    <w:rsid w:val="00E2446B"/>
    <w:rsid w:val="00E244F5"/>
    <w:rsid w:val="00E25AD3"/>
    <w:rsid w:val="00E25C67"/>
    <w:rsid w:val="00E25C7A"/>
    <w:rsid w:val="00E25D18"/>
    <w:rsid w:val="00E25FDC"/>
    <w:rsid w:val="00E25FE5"/>
    <w:rsid w:val="00E267C2"/>
    <w:rsid w:val="00E26F68"/>
    <w:rsid w:val="00E27033"/>
    <w:rsid w:val="00E270DE"/>
    <w:rsid w:val="00E27497"/>
    <w:rsid w:val="00E274AC"/>
    <w:rsid w:val="00E2775C"/>
    <w:rsid w:val="00E278E3"/>
    <w:rsid w:val="00E27926"/>
    <w:rsid w:val="00E27FD7"/>
    <w:rsid w:val="00E306D5"/>
    <w:rsid w:val="00E309E7"/>
    <w:rsid w:val="00E30ACD"/>
    <w:rsid w:val="00E30C52"/>
    <w:rsid w:val="00E31920"/>
    <w:rsid w:val="00E319B6"/>
    <w:rsid w:val="00E31B78"/>
    <w:rsid w:val="00E321F9"/>
    <w:rsid w:val="00E3240C"/>
    <w:rsid w:val="00E32438"/>
    <w:rsid w:val="00E329FD"/>
    <w:rsid w:val="00E32A5F"/>
    <w:rsid w:val="00E330F3"/>
    <w:rsid w:val="00E334B1"/>
    <w:rsid w:val="00E34257"/>
    <w:rsid w:val="00E34416"/>
    <w:rsid w:val="00E344C4"/>
    <w:rsid w:val="00E34520"/>
    <w:rsid w:val="00E3479A"/>
    <w:rsid w:val="00E34FCB"/>
    <w:rsid w:val="00E351F1"/>
    <w:rsid w:val="00E353E8"/>
    <w:rsid w:val="00E35432"/>
    <w:rsid w:val="00E3585E"/>
    <w:rsid w:val="00E35ED6"/>
    <w:rsid w:val="00E3653F"/>
    <w:rsid w:val="00E36569"/>
    <w:rsid w:val="00E36685"/>
    <w:rsid w:val="00E366C0"/>
    <w:rsid w:val="00E3671A"/>
    <w:rsid w:val="00E36DAB"/>
    <w:rsid w:val="00E3764D"/>
    <w:rsid w:val="00E379B8"/>
    <w:rsid w:val="00E37D51"/>
    <w:rsid w:val="00E37D8B"/>
    <w:rsid w:val="00E401A0"/>
    <w:rsid w:val="00E40785"/>
    <w:rsid w:val="00E40E0C"/>
    <w:rsid w:val="00E40E8F"/>
    <w:rsid w:val="00E415A3"/>
    <w:rsid w:val="00E4177B"/>
    <w:rsid w:val="00E417E7"/>
    <w:rsid w:val="00E41D07"/>
    <w:rsid w:val="00E4223D"/>
    <w:rsid w:val="00E422C1"/>
    <w:rsid w:val="00E4253E"/>
    <w:rsid w:val="00E42589"/>
    <w:rsid w:val="00E42785"/>
    <w:rsid w:val="00E428FB"/>
    <w:rsid w:val="00E42F86"/>
    <w:rsid w:val="00E42F92"/>
    <w:rsid w:val="00E43425"/>
    <w:rsid w:val="00E43786"/>
    <w:rsid w:val="00E44A98"/>
    <w:rsid w:val="00E44C7B"/>
    <w:rsid w:val="00E45641"/>
    <w:rsid w:val="00E4580C"/>
    <w:rsid w:val="00E45ADB"/>
    <w:rsid w:val="00E45CAA"/>
    <w:rsid w:val="00E45F0E"/>
    <w:rsid w:val="00E46468"/>
    <w:rsid w:val="00E466DD"/>
    <w:rsid w:val="00E46DC1"/>
    <w:rsid w:val="00E472BB"/>
    <w:rsid w:val="00E47383"/>
    <w:rsid w:val="00E47819"/>
    <w:rsid w:val="00E47A67"/>
    <w:rsid w:val="00E50A5D"/>
    <w:rsid w:val="00E50D70"/>
    <w:rsid w:val="00E51172"/>
    <w:rsid w:val="00E5151E"/>
    <w:rsid w:val="00E51782"/>
    <w:rsid w:val="00E52095"/>
    <w:rsid w:val="00E520B9"/>
    <w:rsid w:val="00E52588"/>
    <w:rsid w:val="00E528D0"/>
    <w:rsid w:val="00E52B21"/>
    <w:rsid w:val="00E52B79"/>
    <w:rsid w:val="00E52C5F"/>
    <w:rsid w:val="00E5313D"/>
    <w:rsid w:val="00E53989"/>
    <w:rsid w:val="00E53C68"/>
    <w:rsid w:val="00E5446B"/>
    <w:rsid w:val="00E54977"/>
    <w:rsid w:val="00E54F26"/>
    <w:rsid w:val="00E54F35"/>
    <w:rsid w:val="00E55330"/>
    <w:rsid w:val="00E556B0"/>
    <w:rsid w:val="00E558D2"/>
    <w:rsid w:val="00E56351"/>
    <w:rsid w:val="00E563B5"/>
    <w:rsid w:val="00E564ED"/>
    <w:rsid w:val="00E56A27"/>
    <w:rsid w:val="00E56CB3"/>
    <w:rsid w:val="00E57C4D"/>
    <w:rsid w:val="00E6023F"/>
    <w:rsid w:val="00E6103B"/>
    <w:rsid w:val="00E610F4"/>
    <w:rsid w:val="00E612C8"/>
    <w:rsid w:val="00E6134C"/>
    <w:rsid w:val="00E6157F"/>
    <w:rsid w:val="00E61BA8"/>
    <w:rsid w:val="00E62151"/>
    <w:rsid w:val="00E62361"/>
    <w:rsid w:val="00E629E5"/>
    <w:rsid w:val="00E62B1F"/>
    <w:rsid w:val="00E63320"/>
    <w:rsid w:val="00E63B57"/>
    <w:rsid w:val="00E63BDF"/>
    <w:rsid w:val="00E6426C"/>
    <w:rsid w:val="00E64789"/>
    <w:rsid w:val="00E64A5B"/>
    <w:rsid w:val="00E6525A"/>
    <w:rsid w:val="00E653D9"/>
    <w:rsid w:val="00E659D7"/>
    <w:rsid w:val="00E65ED5"/>
    <w:rsid w:val="00E66845"/>
    <w:rsid w:val="00E668E9"/>
    <w:rsid w:val="00E66C9A"/>
    <w:rsid w:val="00E67122"/>
    <w:rsid w:val="00E67355"/>
    <w:rsid w:val="00E67490"/>
    <w:rsid w:val="00E67C59"/>
    <w:rsid w:val="00E67FAE"/>
    <w:rsid w:val="00E71140"/>
    <w:rsid w:val="00E71A28"/>
    <w:rsid w:val="00E71BC5"/>
    <w:rsid w:val="00E71C4B"/>
    <w:rsid w:val="00E72040"/>
    <w:rsid w:val="00E721D3"/>
    <w:rsid w:val="00E72254"/>
    <w:rsid w:val="00E72BBF"/>
    <w:rsid w:val="00E73113"/>
    <w:rsid w:val="00E736CA"/>
    <w:rsid w:val="00E7395E"/>
    <w:rsid w:val="00E73D5E"/>
    <w:rsid w:val="00E7452A"/>
    <w:rsid w:val="00E74866"/>
    <w:rsid w:val="00E74DA6"/>
    <w:rsid w:val="00E75938"/>
    <w:rsid w:val="00E75AD7"/>
    <w:rsid w:val="00E75B4A"/>
    <w:rsid w:val="00E75C4C"/>
    <w:rsid w:val="00E76521"/>
    <w:rsid w:val="00E767D8"/>
    <w:rsid w:val="00E769F5"/>
    <w:rsid w:val="00E76CB6"/>
    <w:rsid w:val="00E76FFF"/>
    <w:rsid w:val="00E77165"/>
    <w:rsid w:val="00E77441"/>
    <w:rsid w:val="00E7794F"/>
    <w:rsid w:val="00E77C2C"/>
    <w:rsid w:val="00E80DF7"/>
    <w:rsid w:val="00E81016"/>
    <w:rsid w:val="00E81D44"/>
    <w:rsid w:val="00E8214D"/>
    <w:rsid w:val="00E8261A"/>
    <w:rsid w:val="00E82984"/>
    <w:rsid w:val="00E83032"/>
    <w:rsid w:val="00E83083"/>
    <w:rsid w:val="00E83279"/>
    <w:rsid w:val="00E83499"/>
    <w:rsid w:val="00E836F5"/>
    <w:rsid w:val="00E838EA"/>
    <w:rsid w:val="00E83DDA"/>
    <w:rsid w:val="00E843E8"/>
    <w:rsid w:val="00E846CC"/>
    <w:rsid w:val="00E84B4F"/>
    <w:rsid w:val="00E84E84"/>
    <w:rsid w:val="00E84F8A"/>
    <w:rsid w:val="00E85C58"/>
    <w:rsid w:val="00E85ED5"/>
    <w:rsid w:val="00E8601D"/>
    <w:rsid w:val="00E86395"/>
    <w:rsid w:val="00E86A7E"/>
    <w:rsid w:val="00E86CB6"/>
    <w:rsid w:val="00E86D89"/>
    <w:rsid w:val="00E8723E"/>
    <w:rsid w:val="00E87CB4"/>
    <w:rsid w:val="00E87D43"/>
    <w:rsid w:val="00E87D73"/>
    <w:rsid w:val="00E9002A"/>
    <w:rsid w:val="00E9038B"/>
    <w:rsid w:val="00E90597"/>
    <w:rsid w:val="00E90690"/>
    <w:rsid w:val="00E90AF5"/>
    <w:rsid w:val="00E90B1C"/>
    <w:rsid w:val="00E90E3C"/>
    <w:rsid w:val="00E90E9C"/>
    <w:rsid w:val="00E9137C"/>
    <w:rsid w:val="00E9167A"/>
    <w:rsid w:val="00E917EC"/>
    <w:rsid w:val="00E91C23"/>
    <w:rsid w:val="00E933D2"/>
    <w:rsid w:val="00E93668"/>
    <w:rsid w:val="00E9376F"/>
    <w:rsid w:val="00E9429E"/>
    <w:rsid w:val="00E9471A"/>
    <w:rsid w:val="00E94C7D"/>
    <w:rsid w:val="00E9557F"/>
    <w:rsid w:val="00E95FE6"/>
    <w:rsid w:val="00E96273"/>
    <w:rsid w:val="00E96D1A"/>
    <w:rsid w:val="00E974E1"/>
    <w:rsid w:val="00E97846"/>
    <w:rsid w:val="00EA0718"/>
    <w:rsid w:val="00EA0E7D"/>
    <w:rsid w:val="00EA13FD"/>
    <w:rsid w:val="00EA1D46"/>
    <w:rsid w:val="00EA1E06"/>
    <w:rsid w:val="00EA212C"/>
    <w:rsid w:val="00EA215E"/>
    <w:rsid w:val="00EA285C"/>
    <w:rsid w:val="00EA292A"/>
    <w:rsid w:val="00EA2DD1"/>
    <w:rsid w:val="00EA3200"/>
    <w:rsid w:val="00EA322E"/>
    <w:rsid w:val="00EA330A"/>
    <w:rsid w:val="00EA389C"/>
    <w:rsid w:val="00EA3B6C"/>
    <w:rsid w:val="00EA3BD1"/>
    <w:rsid w:val="00EA3D13"/>
    <w:rsid w:val="00EA4186"/>
    <w:rsid w:val="00EA4BD4"/>
    <w:rsid w:val="00EA4DFA"/>
    <w:rsid w:val="00EA4EB1"/>
    <w:rsid w:val="00EA52B8"/>
    <w:rsid w:val="00EA5455"/>
    <w:rsid w:val="00EA55D0"/>
    <w:rsid w:val="00EA5871"/>
    <w:rsid w:val="00EA5A68"/>
    <w:rsid w:val="00EA5AD4"/>
    <w:rsid w:val="00EA61C9"/>
    <w:rsid w:val="00EA6383"/>
    <w:rsid w:val="00EA6B23"/>
    <w:rsid w:val="00EA7303"/>
    <w:rsid w:val="00EA7B64"/>
    <w:rsid w:val="00EA7DFB"/>
    <w:rsid w:val="00EA7F89"/>
    <w:rsid w:val="00EB065A"/>
    <w:rsid w:val="00EB0758"/>
    <w:rsid w:val="00EB08B1"/>
    <w:rsid w:val="00EB12D5"/>
    <w:rsid w:val="00EB1671"/>
    <w:rsid w:val="00EB16A1"/>
    <w:rsid w:val="00EB1C66"/>
    <w:rsid w:val="00EB20BB"/>
    <w:rsid w:val="00EB24DC"/>
    <w:rsid w:val="00EB2A30"/>
    <w:rsid w:val="00EB2BCC"/>
    <w:rsid w:val="00EB2D4E"/>
    <w:rsid w:val="00EB3035"/>
    <w:rsid w:val="00EB3898"/>
    <w:rsid w:val="00EB396F"/>
    <w:rsid w:val="00EB399E"/>
    <w:rsid w:val="00EB3A02"/>
    <w:rsid w:val="00EB3BFB"/>
    <w:rsid w:val="00EB4217"/>
    <w:rsid w:val="00EB4A3A"/>
    <w:rsid w:val="00EB50BF"/>
    <w:rsid w:val="00EB56A8"/>
    <w:rsid w:val="00EB580B"/>
    <w:rsid w:val="00EB5BFE"/>
    <w:rsid w:val="00EB5C7D"/>
    <w:rsid w:val="00EB5CDC"/>
    <w:rsid w:val="00EB5F4F"/>
    <w:rsid w:val="00EB6BD7"/>
    <w:rsid w:val="00EB709D"/>
    <w:rsid w:val="00EB7105"/>
    <w:rsid w:val="00EB74A5"/>
    <w:rsid w:val="00EB755D"/>
    <w:rsid w:val="00EB76C9"/>
    <w:rsid w:val="00EB7709"/>
    <w:rsid w:val="00EB7831"/>
    <w:rsid w:val="00EB7935"/>
    <w:rsid w:val="00EB7B6E"/>
    <w:rsid w:val="00EB7C43"/>
    <w:rsid w:val="00EC0139"/>
    <w:rsid w:val="00EC0228"/>
    <w:rsid w:val="00EC058C"/>
    <w:rsid w:val="00EC0986"/>
    <w:rsid w:val="00EC0DF7"/>
    <w:rsid w:val="00EC121C"/>
    <w:rsid w:val="00EC128C"/>
    <w:rsid w:val="00EC13B9"/>
    <w:rsid w:val="00EC1DA2"/>
    <w:rsid w:val="00EC22F7"/>
    <w:rsid w:val="00EC3196"/>
    <w:rsid w:val="00EC3323"/>
    <w:rsid w:val="00EC3339"/>
    <w:rsid w:val="00EC3350"/>
    <w:rsid w:val="00EC3385"/>
    <w:rsid w:val="00EC34AC"/>
    <w:rsid w:val="00EC38E2"/>
    <w:rsid w:val="00EC3A81"/>
    <w:rsid w:val="00EC4022"/>
    <w:rsid w:val="00EC48DD"/>
    <w:rsid w:val="00EC4D29"/>
    <w:rsid w:val="00EC4DB7"/>
    <w:rsid w:val="00EC548D"/>
    <w:rsid w:val="00EC56F3"/>
    <w:rsid w:val="00EC5B78"/>
    <w:rsid w:val="00EC5B9F"/>
    <w:rsid w:val="00EC5D4B"/>
    <w:rsid w:val="00EC612D"/>
    <w:rsid w:val="00EC67FB"/>
    <w:rsid w:val="00EC682C"/>
    <w:rsid w:val="00EC6887"/>
    <w:rsid w:val="00EC6DAA"/>
    <w:rsid w:val="00EC7418"/>
    <w:rsid w:val="00EC773F"/>
    <w:rsid w:val="00EC7B7F"/>
    <w:rsid w:val="00EC7D3B"/>
    <w:rsid w:val="00EC7D69"/>
    <w:rsid w:val="00EC7F8C"/>
    <w:rsid w:val="00ED0483"/>
    <w:rsid w:val="00ED0C2D"/>
    <w:rsid w:val="00ED101F"/>
    <w:rsid w:val="00ED10F1"/>
    <w:rsid w:val="00ED1375"/>
    <w:rsid w:val="00ED1867"/>
    <w:rsid w:val="00ED1D8A"/>
    <w:rsid w:val="00ED20A7"/>
    <w:rsid w:val="00ED23A0"/>
    <w:rsid w:val="00ED27A9"/>
    <w:rsid w:val="00ED3164"/>
    <w:rsid w:val="00ED3174"/>
    <w:rsid w:val="00ED42B2"/>
    <w:rsid w:val="00ED497C"/>
    <w:rsid w:val="00ED4D81"/>
    <w:rsid w:val="00ED5D2F"/>
    <w:rsid w:val="00ED5D72"/>
    <w:rsid w:val="00ED618A"/>
    <w:rsid w:val="00ED6669"/>
    <w:rsid w:val="00ED6730"/>
    <w:rsid w:val="00ED6A01"/>
    <w:rsid w:val="00ED7051"/>
    <w:rsid w:val="00ED756F"/>
    <w:rsid w:val="00ED779E"/>
    <w:rsid w:val="00ED7B26"/>
    <w:rsid w:val="00EE0527"/>
    <w:rsid w:val="00EE0529"/>
    <w:rsid w:val="00EE0978"/>
    <w:rsid w:val="00EE0BA8"/>
    <w:rsid w:val="00EE0E74"/>
    <w:rsid w:val="00EE0E83"/>
    <w:rsid w:val="00EE0F5B"/>
    <w:rsid w:val="00EE100B"/>
    <w:rsid w:val="00EE128A"/>
    <w:rsid w:val="00EE1975"/>
    <w:rsid w:val="00EE1B21"/>
    <w:rsid w:val="00EE1BD7"/>
    <w:rsid w:val="00EE209D"/>
    <w:rsid w:val="00EE2D84"/>
    <w:rsid w:val="00EE32B9"/>
    <w:rsid w:val="00EE38AD"/>
    <w:rsid w:val="00EE3B88"/>
    <w:rsid w:val="00EE3CA0"/>
    <w:rsid w:val="00EE4464"/>
    <w:rsid w:val="00EE4880"/>
    <w:rsid w:val="00EE4C11"/>
    <w:rsid w:val="00EE5499"/>
    <w:rsid w:val="00EE5A59"/>
    <w:rsid w:val="00EE5CC5"/>
    <w:rsid w:val="00EE5CC8"/>
    <w:rsid w:val="00EE5D44"/>
    <w:rsid w:val="00EE5D92"/>
    <w:rsid w:val="00EE610B"/>
    <w:rsid w:val="00EE6248"/>
    <w:rsid w:val="00EE681E"/>
    <w:rsid w:val="00EE69A0"/>
    <w:rsid w:val="00EE6A07"/>
    <w:rsid w:val="00EE6D7C"/>
    <w:rsid w:val="00EE6E93"/>
    <w:rsid w:val="00EE714C"/>
    <w:rsid w:val="00EE730E"/>
    <w:rsid w:val="00EE760C"/>
    <w:rsid w:val="00EE7962"/>
    <w:rsid w:val="00EF025D"/>
    <w:rsid w:val="00EF03CD"/>
    <w:rsid w:val="00EF0E6F"/>
    <w:rsid w:val="00EF1387"/>
    <w:rsid w:val="00EF13C0"/>
    <w:rsid w:val="00EF13D6"/>
    <w:rsid w:val="00EF1F52"/>
    <w:rsid w:val="00EF215B"/>
    <w:rsid w:val="00EF2177"/>
    <w:rsid w:val="00EF245D"/>
    <w:rsid w:val="00EF2BDA"/>
    <w:rsid w:val="00EF2CF1"/>
    <w:rsid w:val="00EF2D39"/>
    <w:rsid w:val="00EF304B"/>
    <w:rsid w:val="00EF3473"/>
    <w:rsid w:val="00EF48E1"/>
    <w:rsid w:val="00EF4F0A"/>
    <w:rsid w:val="00EF557A"/>
    <w:rsid w:val="00EF56A4"/>
    <w:rsid w:val="00EF5727"/>
    <w:rsid w:val="00EF5B3F"/>
    <w:rsid w:val="00EF64F5"/>
    <w:rsid w:val="00EF667E"/>
    <w:rsid w:val="00EF67F0"/>
    <w:rsid w:val="00EF6AA9"/>
    <w:rsid w:val="00EF7240"/>
    <w:rsid w:val="00EF7B62"/>
    <w:rsid w:val="00EF7CF1"/>
    <w:rsid w:val="00EF7D3F"/>
    <w:rsid w:val="00F00201"/>
    <w:rsid w:val="00F00495"/>
    <w:rsid w:val="00F00679"/>
    <w:rsid w:val="00F007E9"/>
    <w:rsid w:val="00F01410"/>
    <w:rsid w:val="00F01524"/>
    <w:rsid w:val="00F01E4D"/>
    <w:rsid w:val="00F02A93"/>
    <w:rsid w:val="00F02C52"/>
    <w:rsid w:val="00F02CEF"/>
    <w:rsid w:val="00F02F12"/>
    <w:rsid w:val="00F0323F"/>
    <w:rsid w:val="00F0334C"/>
    <w:rsid w:val="00F0352F"/>
    <w:rsid w:val="00F03D07"/>
    <w:rsid w:val="00F04010"/>
    <w:rsid w:val="00F042E5"/>
    <w:rsid w:val="00F04BDC"/>
    <w:rsid w:val="00F04EA5"/>
    <w:rsid w:val="00F04F6C"/>
    <w:rsid w:val="00F05848"/>
    <w:rsid w:val="00F0596B"/>
    <w:rsid w:val="00F05BD7"/>
    <w:rsid w:val="00F0675A"/>
    <w:rsid w:val="00F07233"/>
    <w:rsid w:val="00F07549"/>
    <w:rsid w:val="00F07799"/>
    <w:rsid w:val="00F07BD8"/>
    <w:rsid w:val="00F07C8D"/>
    <w:rsid w:val="00F1090C"/>
    <w:rsid w:val="00F10E3D"/>
    <w:rsid w:val="00F112DE"/>
    <w:rsid w:val="00F11372"/>
    <w:rsid w:val="00F11D5F"/>
    <w:rsid w:val="00F125B5"/>
    <w:rsid w:val="00F1260E"/>
    <w:rsid w:val="00F1276E"/>
    <w:rsid w:val="00F129A5"/>
    <w:rsid w:val="00F129F7"/>
    <w:rsid w:val="00F1329F"/>
    <w:rsid w:val="00F13C5E"/>
    <w:rsid w:val="00F145F0"/>
    <w:rsid w:val="00F14A3D"/>
    <w:rsid w:val="00F1565A"/>
    <w:rsid w:val="00F15739"/>
    <w:rsid w:val="00F160AF"/>
    <w:rsid w:val="00F16113"/>
    <w:rsid w:val="00F16BA1"/>
    <w:rsid w:val="00F174A8"/>
    <w:rsid w:val="00F202AA"/>
    <w:rsid w:val="00F211EE"/>
    <w:rsid w:val="00F2140C"/>
    <w:rsid w:val="00F2152E"/>
    <w:rsid w:val="00F21A58"/>
    <w:rsid w:val="00F21C43"/>
    <w:rsid w:val="00F21ED9"/>
    <w:rsid w:val="00F222E7"/>
    <w:rsid w:val="00F2240C"/>
    <w:rsid w:val="00F224A1"/>
    <w:rsid w:val="00F23604"/>
    <w:rsid w:val="00F236CB"/>
    <w:rsid w:val="00F24516"/>
    <w:rsid w:val="00F246C9"/>
    <w:rsid w:val="00F24C55"/>
    <w:rsid w:val="00F24E1B"/>
    <w:rsid w:val="00F256A1"/>
    <w:rsid w:val="00F25761"/>
    <w:rsid w:val="00F264B1"/>
    <w:rsid w:val="00F26804"/>
    <w:rsid w:val="00F26B20"/>
    <w:rsid w:val="00F26B63"/>
    <w:rsid w:val="00F26C74"/>
    <w:rsid w:val="00F27061"/>
    <w:rsid w:val="00F27C25"/>
    <w:rsid w:val="00F306A2"/>
    <w:rsid w:val="00F306E3"/>
    <w:rsid w:val="00F30B45"/>
    <w:rsid w:val="00F30C07"/>
    <w:rsid w:val="00F31018"/>
    <w:rsid w:val="00F31D69"/>
    <w:rsid w:val="00F31F40"/>
    <w:rsid w:val="00F32C23"/>
    <w:rsid w:val="00F32E80"/>
    <w:rsid w:val="00F33275"/>
    <w:rsid w:val="00F33CC8"/>
    <w:rsid w:val="00F340C7"/>
    <w:rsid w:val="00F34ADC"/>
    <w:rsid w:val="00F34BBC"/>
    <w:rsid w:val="00F34F52"/>
    <w:rsid w:val="00F353DA"/>
    <w:rsid w:val="00F35542"/>
    <w:rsid w:val="00F35A49"/>
    <w:rsid w:val="00F35C12"/>
    <w:rsid w:val="00F35CF9"/>
    <w:rsid w:val="00F36059"/>
    <w:rsid w:val="00F36379"/>
    <w:rsid w:val="00F363B7"/>
    <w:rsid w:val="00F3646E"/>
    <w:rsid w:val="00F3664D"/>
    <w:rsid w:val="00F36826"/>
    <w:rsid w:val="00F36943"/>
    <w:rsid w:val="00F37047"/>
    <w:rsid w:val="00F37315"/>
    <w:rsid w:val="00F377A7"/>
    <w:rsid w:val="00F37BBE"/>
    <w:rsid w:val="00F37DEE"/>
    <w:rsid w:val="00F37E5A"/>
    <w:rsid w:val="00F4018A"/>
    <w:rsid w:val="00F40692"/>
    <w:rsid w:val="00F4070A"/>
    <w:rsid w:val="00F4098C"/>
    <w:rsid w:val="00F409A8"/>
    <w:rsid w:val="00F40BD4"/>
    <w:rsid w:val="00F40E0A"/>
    <w:rsid w:val="00F41DA5"/>
    <w:rsid w:val="00F41DD7"/>
    <w:rsid w:val="00F4236C"/>
    <w:rsid w:val="00F42505"/>
    <w:rsid w:val="00F42AD1"/>
    <w:rsid w:val="00F43219"/>
    <w:rsid w:val="00F4322E"/>
    <w:rsid w:val="00F4333F"/>
    <w:rsid w:val="00F4351C"/>
    <w:rsid w:val="00F43751"/>
    <w:rsid w:val="00F4399F"/>
    <w:rsid w:val="00F43B0D"/>
    <w:rsid w:val="00F44688"/>
    <w:rsid w:val="00F44699"/>
    <w:rsid w:val="00F448E2"/>
    <w:rsid w:val="00F44AC9"/>
    <w:rsid w:val="00F44AD8"/>
    <w:rsid w:val="00F45645"/>
    <w:rsid w:val="00F45B75"/>
    <w:rsid w:val="00F45D6E"/>
    <w:rsid w:val="00F45F2F"/>
    <w:rsid w:val="00F46309"/>
    <w:rsid w:val="00F465BE"/>
    <w:rsid w:val="00F4674A"/>
    <w:rsid w:val="00F468CE"/>
    <w:rsid w:val="00F46AA8"/>
    <w:rsid w:val="00F46DD1"/>
    <w:rsid w:val="00F46EFB"/>
    <w:rsid w:val="00F47C41"/>
    <w:rsid w:val="00F5017F"/>
    <w:rsid w:val="00F5060B"/>
    <w:rsid w:val="00F50D4F"/>
    <w:rsid w:val="00F50E7D"/>
    <w:rsid w:val="00F51097"/>
    <w:rsid w:val="00F51BD4"/>
    <w:rsid w:val="00F51F16"/>
    <w:rsid w:val="00F526E5"/>
    <w:rsid w:val="00F5274F"/>
    <w:rsid w:val="00F53040"/>
    <w:rsid w:val="00F53DBB"/>
    <w:rsid w:val="00F53E1B"/>
    <w:rsid w:val="00F53EE0"/>
    <w:rsid w:val="00F5422C"/>
    <w:rsid w:val="00F542F1"/>
    <w:rsid w:val="00F549A5"/>
    <w:rsid w:val="00F54C16"/>
    <w:rsid w:val="00F55B6F"/>
    <w:rsid w:val="00F56122"/>
    <w:rsid w:val="00F562D0"/>
    <w:rsid w:val="00F56481"/>
    <w:rsid w:val="00F56B08"/>
    <w:rsid w:val="00F56B0C"/>
    <w:rsid w:val="00F56B76"/>
    <w:rsid w:val="00F56BFF"/>
    <w:rsid w:val="00F56D1F"/>
    <w:rsid w:val="00F56DCA"/>
    <w:rsid w:val="00F56F1C"/>
    <w:rsid w:val="00F5730F"/>
    <w:rsid w:val="00F5750B"/>
    <w:rsid w:val="00F575EA"/>
    <w:rsid w:val="00F57815"/>
    <w:rsid w:val="00F57C5C"/>
    <w:rsid w:val="00F57CF9"/>
    <w:rsid w:val="00F60800"/>
    <w:rsid w:val="00F60AB3"/>
    <w:rsid w:val="00F60B1E"/>
    <w:rsid w:val="00F60B61"/>
    <w:rsid w:val="00F60F39"/>
    <w:rsid w:val="00F61086"/>
    <w:rsid w:val="00F612D8"/>
    <w:rsid w:val="00F612E6"/>
    <w:rsid w:val="00F613B4"/>
    <w:rsid w:val="00F614AB"/>
    <w:rsid w:val="00F615B5"/>
    <w:rsid w:val="00F61D35"/>
    <w:rsid w:val="00F6200B"/>
    <w:rsid w:val="00F627B0"/>
    <w:rsid w:val="00F62A7C"/>
    <w:rsid w:val="00F62AC8"/>
    <w:rsid w:val="00F62AEE"/>
    <w:rsid w:val="00F62CA4"/>
    <w:rsid w:val="00F62D74"/>
    <w:rsid w:val="00F62EC7"/>
    <w:rsid w:val="00F6381A"/>
    <w:rsid w:val="00F63FF9"/>
    <w:rsid w:val="00F642D7"/>
    <w:rsid w:val="00F64346"/>
    <w:rsid w:val="00F643C8"/>
    <w:rsid w:val="00F644D1"/>
    <w:rsid w:val="00F64525"/>
    <w:rsid w:val="00F646C4"/>
    <w:rsid w:val="00F6484A"/>
    <w:rsid w:val="00F649FE"/>
    <w:rsid w:val="00F64C2E"/>
    <w:rsid w:val="00F6513F"/>
    <w:rsid w:val="00F65640"/>
    <w:rsid w:val="00F65806"/>
    <w:rsid w:val="00F6590B"/>
    <w:rsid w:val="00F659CF"/>
    <w:rsid w:val="00F65A52"/>
    <w:rsid w:val="00F65A98"/>
    <w:rsid w:val="00F66270"/>
    <w:rsid w:val="00F67291"/>
    <w:rsid w:val="00F673DC"/>
    <w:rsid w:val="00F676BA"/>
    <w:rsid w:val="00F6783D"/>
    <w:rsid w:val="00F67975"/>
    <w:rsid w:val="00F67B77"/>
    <w:rsid w:val="00F70018"/>
    <w:rsid w:val="00F70AA8"/>
    <w:rsid w:val="00F71808"/>
    <w:rsid w:val="00F71964"/>
    <w:rsid w:val="00F71A56"/>
    <w:rsid w:val="00F72445"/>
    <w:rsid w:val="00F72976"/>
    <w:rsid w:val="00F72A3F"/>
    <w:rsid w:val="00F72B53"/>
    <w:rsid w:val="00F72CD8"/>
    <w:rsid w:val="00F73584"/>
    <w:rsid w:val="00F73AE6"/>
    <w:rsid w:val="00F74615"/>
    <w:rsid w:val="00F74B15"/>
    <w:rsid w:val="00F750B9"/>
    <w:rsid w:val="00F750DF"/>
    <w:rsid w:val="00F752D8"/>
    <w:rsid w:val="00F75D7B"/>
    <w:rsid w:val="00F76098"/>
    <w:rsid w:val="00F76432"/>
    <w:rsid w:val="00F764BC"/>
    <w:rsid w:val="00F765CF"/>
    <w:rsid w:val="00F7691B"/>
    <w:rsid w:val="00F76BD6"/>
    <w:rsid w:val="00F76BE2"/>
    <w:rsid w:val="00F772C6"/>
    <w:rsid w:val="00F777D4"/>
    <w:rsid w:val="00F77820"/>
    <w:rsid w:val="00F7788A"/>
    <w:rsid w:val="00F80399"/>
    <w:rsid w:val="00F804BB"/>
    <w:rsid w:val="00F804E7"/>
    <w:rsid w:val="00F8076D"/>
    <w:rsid w:val="00F80BEA"/>
    <w:rsid w:val="00F81187"/>
    <w:rsid w:val="00F81563"/>
    <w:rsid w:val="00F8178D"/>
    <w:rsid w:val="00F817BD"/>
    <w:rsid w:val="00F8195A"/>
    <w:rsid w:val="00F81AA6"/>
    <w:rsid w:val="00F81F70"/>
    <w:rsid w:val="00F81FDD"/>
    <w:rsid w:val="00F8221D"/>
    <w:rsid w:val="00F822DB"/>
    <w:rsid w:val="00F82448"/>
    <w:rsid w:val="00F832CF"/>
    <w:rsid w:val="00F83A58"/>
    <w:rsid w:val="00F83DDF"/>
    <w:rsid w:val="00F84146"/>
    <w:rsid w:val="00F84247"/>
    <w:rsid w:val="00F85283"/>
    <w:rsid w:val="00F85327"/>
    <w:rsid w:val="00F85475"/>
    <w:rsid w:val="00F856A6"/>
    <w:rsid w:val="00F85A51"/>
    <w:rsid w:val="00F8672E"/>
    <w:rsid w:val="00F868AD"/>
    <w:rsid w:val="00F86946"/>
    <w:rsid w:val="00F86C0B"/>
    <w:rsid w:val="00F87732"/>
    <w:rsid w:val="00F87A86"/>
    <w:rsid w:val="00F87F5A"/>
    <w:rsid w:val="00F87FBC"/>
    <w:rsid w:val="00F904F8"/>
    <w:rsid w:val="00F908AF"/>
    <w:rsid w:val="00F910AE"/>
    <w:rsid w:val="00F9142D"/>
    <w:rsid w:val="00F91568"/>
    <w:rsid w:val="00F91B38"/>
    <w:rsid w:val="00F91D47"/>
    <w:rsid w:val="00F92179"/>
    <w:rsid w:val="00F932C2"/>
    <w:rsid w:val="00F9355A"/>
    <w:rsid w:val="00F93A8D"/>
    <w:rsid w:val="00F93D3D"/>
    <w:rsid w:val="00F94015"/>
    <w:rsid w:val="00F94076"/>
    <w:rsid w:val="00F940A8"/>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8F1"/>
    <w:rsid w:val="00F96A83"/>
    <w:rsid w:val="00F975C6"/>
    <w:rsid w:val="00F97862"/>
    <w:rsid w:val="00F97BCB"/>
    <w:rsid w:val="00FA0186"/>
    <w:rsid w:val="00FA0A66"/>
    <w:rsid w:val="00FA0B5B"/>
    <w:rsid w:val="00FA0D3B"/>
    <w:rsid w:val="00FA0DA2"/>
    <w:rsid w:val="00FA0DBD"/>
    <w:rsid w:val="00FA0E52"/>
    <w:rsid w:val="00FA0F3A"/>
    <w:rsid w:val="00FA1872"/>
    <w:rsid w:val="00FA1E3E"/>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FA"/>
    <w:rsid w:val="00FA5CCE"/>
    <w:rsid w:val="00FA5D06"/>
    <w:rsid w:val="00FA6697"/>
    <w:rsid w:val="00FA6E00"/>
    <w:rsid w:val="00FA70C9"/>
    <w:rsid w:val="00FA741C"/>
    <w:rsid w:val="00FA748C"/>
    <w:rsid w:val="00FA78A1"/>
    <w:rsid w:val="00FA79FE"/>
    <w:rsid w:val="00FA7B0A"/>
    <w:rsid w:val="00FA7C97"/>
    <w:rsid w:val="00FB01AB"/>
    <w:rsid w:val="00FB02E9"/>
    <w:rsid w:val="00FB1110"/>
    <w:rsid w:val="00FB211D"/>
    <w:rsid w:val="00FB23FB"/>
    <w:rsid w:val="00FB2565"/>
    <w:rsid w:val="00FB25F7"/>
    <w:rsid w:val="00FB2762"/>
    <w:rsid w:val="00FB2A72"/>
    <w:rsid w:val="00FB2D93"/>
    <w:rsid w:val="00FB3191"/>
    <w:rsid w:val="00FB3319"/>
    <w:rsid w:val="00FB37FB"/>
    <w:rsid w:val="00FB3AC5"/>
    <w:rsid w:val="00FB4150"/>
    <w:rsid w:val="00FB41CF"/>
    <w:rsid w:val="00FB4698"/>
    <w:rsid w:val="00FB4D3C"/>
    <w:rsid w:val="00FB5796"/>
    <w:rsid w:val="00FB5A8F"/>
    <w:rsid w:val="00FB609A"/>
    <w:rsid w:val="00FB62DB"/>
    <w:rsid w:val="00FB6421"/>
    <w:rsid w:val="00FB647A"/>
    <w:rsid w:val="00FB6530"/>
    <w:rsid w:val="00FB6830"/>
    <w:rsid w:val="00FB6B2D"/>
    <w:rsid w:val="00FB6E9C"/>
    <w:rsid w:val="00FB7A64"/>
    <w:rsid w:val="00FB7E56"/>
    <w:rsid w:val="00FC00BF"/>
    <w:rsid w:val="00FC02E4"/>
    <w:rsid w:val="00FC0A13"/>
    <w:rsid w:val="00FC1414"/>
    <w:rsid w:val="00FC1738"/>
    <w:rsid w:val="00FC19AD"/>
    <w:rsid w:val="00FC1C37"/>
    <w:rsid w:val="00FC1E85"/>
    <w:rsid w:val="00FC1FBC"/>
    <w:rsid w:val="00FC2558"/>
    <w:rsid w:val="00FC2793"/>
    <w:rsid w:val="00FC2C65"/>
    <w:rsid w:val="00FC2FF1"/>
    <w:rsid w:val="00FC3880"/>
    <w:rsid w:val="00FC3AEB"/>
    <w:rsid w:val="00FC3EE3"/>
    <w:rsid w:val="00FC40E3"/>
    <w:rsid w:val="00FC418E"/>
    <w:rsid w:val="00FC4359"/>
    <w:rsid w:val="00FC44CC"/>
    <w:rsid w:val="00FC4683"/>
    <w:rsid w:val="00FC47A3"/>
    <w:rsid w:val="00FC4CD0"/>
    <w:rsid w:val="00FC5686"/>
    <w:rsid w:val="00FC5C52"/>
    <w:rsid w:val="00FC5E87"/>
    <w:rsid w:val="00FC5F8C"/>
    <w:rsid w:val="00FC62E2"/>
    <w:rsid w:val="00FC644F"/>
    <w:rsid w:val="00FC67F8"/>
    <w:rsid w:val="00FC6F0D"/>
    <w:rsid w:val="00FC7088"/>
    <w:rsid w:val="00FC71AE"/>
    <w:rsid w:val="00FC7540"/>
    <w:rsid w:val="00FC772D"/>
    <w:rsid w:val="00FC77F8"/>
    <w:rsid w:val="00FC7D4C"/>
    <w:rsid w:val="00FC7D59"/>
    <w:rsid w:val="00FD00B8"/>
    <w:rsid w:val="00FD0905"/>
    <w:rsid w:val="00FD09C9"/>
    <w:rsid w:val="00FD10D2"/>
    <w:rsid w:val="00FD149E"/>
    <w:rsid w:val="00FD158A"/>
    <w:rsid w:val="00FD15E8"/>
    <w:rsid w:val="00FD170B"/>
    <w:rsid w:val="00FD18BA"/>
    <w:rsid w:val="00FD1AEC"/>
    <w:rsid w:val="00FD1B9F"/>
    <w:rsid w:val="00FD1CCB"/>
    <w:rsid w:val="00FD1E31"/>
    <w:rsid w:val="00FD200F"/>
    <w:rsid w:val="00FD2374"/>
    <w:rsid w:val="00FD2375"/>
    <w:rsid w:val="00FD26BE"/>
    <w:rsid w:val="00FD26CF"/>
    <w:rsid w:val="00FD2995"/>
    <w:rsid w:val="00FD2C06"/>
    <w:rsid w:val="00FD3715"/>
    <w:rsid w:val="00FD3D75"/>
    <w:rsid w:val="00FD3DCD"/>
    <w:rsid w:val="00FD457D"/>
    <w:rsid w:val="00FD4722"/>
    <w:rsid w:val="00FD4B29"/>
    <w:rsid w:val="00FD4C92"/>
    <w:rsid w:val="00FD51FE"/>
    <w:rsid w:val="00FD55E4"/>
    <w:rsid w:val="00FD5664"/>
    <w:rsid w:val="00FD58BD"/>
    <w:rsid w:val="00FD5B56"/>
    <w:rsid w:val="00FD5BD3"/>
    <w:rsid w:val="00FD5DE1"/>
    <w:rsid w:val="00FD6006"/>
    <w:rsid w:val="00FD6238"/>
    <w:rsid w:val="00FD6245"/>
    <w:rsid w:val="00FD6485"/>
    <w:rsid w:val="00FD64C0"/>
    <w:rsid w:val="00FD6810"/>
    <w:rsid w:val="00FD6AA3"/>
    <w:rsid w:val="00FD6B1C"/>
    <w:rsid w:val="00FD71A7"/>
    <w:rsid w:val="00FD72DA"/>
    <w:rsid w:val="00FD7369"/>
    <w:rsid w:val="00FD73A7"/>
    <w:rsid w:val="00FD7859"/>
    <w:rsid w:val="00FD7A5F"/>
    <w:rsid w:val="00FE094E"/>
    <w:rsid w:val="00FE095C"/>
    <w:rsid w:val="00FE0AE0"/>
    <w:rsid w:val="00FE0EEF"/>
    <w:rsid w:val="00FE0FC1"/>
    <w:rsid w:val="00FE1930"/>
    <w:rsid w:val="00FE1C6A"/>
    <w:rsid w:val="00FE1D54"/>
    <w:rsid w:val="00FE2573"/>
    <w:rsid w:val="00FE26AD"/>
    <w:rsid w:val="00FE28F7"/>
    <w:rsid w:val="00FE2D5C"/>
    <w:rsid w:val="00FE2F92"/>
    <w:rsid w:val="00FE317F"/>
    <w:rsid w:val="00FE38AE"/>
    <w:rsid w:val="00FE3A74"/>
    <w:rsid w:val="00FE3DC8"/>
    <w:rsid w:val="00FE4314"/>
    <w:rsid w:val="00FE4439"/>
    <w:rsid w:val="00FE468E"/>
    <w:rsid w:val="00FE4858"/>
    <w:rsid w:val="00FE50C5"/>
    <w:rsid w:val="00FE553A"/>
    <w:rsid w:val="00FE6E52"/>
    <w:rsid w:val="00FE729D"/>
    <w:rsid w:val="00FE72FF"/>
    <w:rsid w:val="00FE758A"/>
    <w:rsid w:val="00FE7D9D"/>
    <w:rsid w:val="00FE7FA6"/>
    <w:rsid w:val="00FF00BF"/>
    <w:rsid w:val="00FF0143"/>
    <w:rsid w:val="00FF06B8"/>
    <w:rsid w:val="00FF0857"/>
    <w:rsid w:val="00FF0F86"/>
    <w:rsid w:val="00FF18F3"/>
    <w:rsid w:val="00FF19A8"/>
    <w:rsid w:val="00FF1C17"/>
    <w:rsid w:val="00FF24B1"/>
    <w:rsid w:val="00FF263A"/>
    <w:rsid w:val="00FF2763"/>
    <w:rsid w:val="00FF2BBD"/>
    <w:rsid w:val="00FF2E78"/>
    <w:rsid w:val="00FF2FDD"/>
    <w:rsid w:val="00FF32CB"/>
    <w:rsid w:val="00FF371F"/>
    <w:rsid w:val="00FF3C5A"/>
    <w:rsid w:val="00FF40BB"/>
    <w:rsid w:val="00FF4565"/>
    <w:rsid w:val="00FF4666"/>
    <w:rsid w:val="00FF4722"/>
    <w:rsid w:val="00FF47F3"/>
    <w:rsid w:val="00FF5CA8"/>
    <w:rsid w:val="00FF62E0"/>
    <w:rsid w:val="00FF68B1"/>
    <w:rsid w:val="00FF7146"/>
    <w:rsid w:val="00FF77A1"/>
    <w:rsid w:val="0133364E"/>
    <w:rsid w:val="013982C9"/>
    <w:rsid w:val="017B8187"/>
    <w:rsid w:val="020FA977"/>
    <w:rsid w:val="024F8818"/>
    <w:rsid w:val="03812F53"/>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02553"/>
    <w:rsid w:val="0FD1FD6B"/>
    <w:rsid w:val="107DC0ED"/>
    <w:rsid w:val="1087927B"/>
    <w:rsid w:val="10986B13"/>
    <w:rsid w:val="10B3C42D"/>
    <w:rsid w:val="10C21919"/>
    <w:rsid w:val="111957DD"/>
    <w:rsid w:val="112A4C7A"/>
    <w:rsid w:val="1151BF21"/>
    <w:rsid w:val="119F9966"/>
    <w:rsid w:val="11C852F9"/>
    <w:rsid w:val="12196768"/>
    <w:rsid w:val="12705B59"/>
    <w:rsid w:val="12C6FF49"/>
    <w:rsid w:val="12CC34A7"/>
    <w:rsid w:val="134F0E6A"/>
    <w:rsid w:val="14A2B4A8"/>
    <w:rsid w:val="152877B9"/>
    <w:rsid w:val="158719A8"/>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CEC484B"/>
    <w:rsid w:val="1D2F3072"/>
    <w:rsid w:val="1D90FC14"/>
    <w:rsid w:val="1E2D8576"/>
    <w:rsid w:val="1E432B92"/>
    <w:rsid w:val="1F05FCA0"/>
    <w:rsid w:val="1FA34F6C"/>
    <w:rsid w:val="1FC737C1"/>
    <w:rsid w:val="1FCD65F1"/>
    <w:rsid w:val="1FE86411"/>
    <w:rsid w:val="2023BD25"/>
    <w:rsid w:val="2087BD11"/>
    <w:rsid w:val="2098C857"/>
    <w:rsid w:val="2104E7C1"/>
    <w:rsid w:val="21855919"/>
    <w:rsid w:val="21A5576E"/>
    <w:rsid w:val="21BC6C39"/>
    <w:rsid w:val="222971A9"/>
    <w:rsid w:val="225450CE"/>
    <w:rsid w:val="2264B73A"/>
    <w:rsid w:val="22CC5B64"/>
    <w:rsid w:val="22F5FCDC"/>
    <w:rsid w:val="2324DE12"/>
    <w:rsid w:val="239BF3D3"/>
    <w:rsid w:val="23A4AC43"/>
    <w:rsid w:val="23D76F2A"/>
    <w:rsid w:val="24346585"/>
    <w:rsid w:val="245E8754"/>
    <w:rsid w:val="2476DE0F"/>
    <w:rsid w:val="24A696DA"/>
    <w:rsid w:val="265ECCA4"/>
    <w:rsid w:val="26FD4AFF"/>
    <w:rsid w:val="2775B74E"/>
    <w:rsid w:val="27A41D0B"/>
    <w:rsid w:val="27BF4B51"/>
    <w:rsid w:val="28011C2A"/>
    <w:rsid w:val="286E8BEE"/>
    <w:rsid w:val="28BA8B01"/>
    <w:rsid w:val="28D96EC9"/>
    <w:rsid w:val="2941EA22"/>
    <w:rsid w:val="2960AC26"/>
    <w:rsid w:val="297F20A8"/>
    <w:rsid w:val="2B09401B"/>
    <w:rsid w:val="2B0CF910"/>
    <w:rsid w:val="2B1CA6CB"/>
    <w:rsid w:val="2B807019"/>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39445E9"/>
    <w:rsid w:val="3482B7FA"/>
    <w:rsid w:val="34F4F130"/>
    <w:rsid w:val="350B072B"/>
    <w:rsid w:val="35160321"/>
    <w:rsid w:val="357F47C9"/>
    <w:rsid w:val="357FFD27"/>
    <w:rsid w:val="35B39C5F"/>
    <w:rsid w:val="35DAE555"/>
    <w:rsid w:val="3687CD6D"/>
    <w:rsid w:val="36AA0712"/>
    <w:rsid w:val="373AC2A5"/>
    <w:rsid w:val="3743F5EB"/>
    <w:rsid w:val="3746ABAD"/>
    <w:rsid w:val="378F66A8"/>
    <w:rsid w:val="3943CF8B"/>
    <w:rsid w:val="398F8BCE"/>
    <w:rsid w:val="39BA8449"/>
    <w:rsid w:val="3A06D2DF"/>
    <w:rsid w:val="3A2B63AA"/>
    <w:rsid w:val="3A9C7F85"/>
    <w:rsid w:val="3B50172F"/>
    <w:rsid w:val="3C95E528"/>
    <w:rsid w:val="3CBDF20B"/>
    <w:rsid w:val="3D2DCDAE"/>
    <w:rsid w:val="3D6ADD4B"/>
    <w:rsid w:val="3DA53752"/>
    <w:rsid w:val="3DB3AB92"/>
    <w:rsid w:val="3E1A6D64"/>
    <w:rsid w:val="3ED95218"/>
    <w:rsid w:val="3FDC4769"/>
    <w:rsid w:val="4015C5E4"/>
    <w:rsid w:val="40A6AA4D"/>
    <w:rsid w:val="40B01693"/>
    <w:rsid w:val="4189E803"/>
    <w:rsid w:val="41DFB241"/>
    <w:rsid w:val="42104142"/>
    <w:rsid w:val="42C314C0"/>
    <w:rsid w:val="42C4346A"/>
    <w:rsid w:val="42DE784E"/>
    <w:rsid w:val="4312056B"/>
    <w:rsid w:val="4358E101"/>
    <w:rsid w:val="43A45086"/>
    <w:rsid w:val="43A9A2F5"/>
    <w:rsid w:val="43B86B02"/>
    <w:rsid w:val="43E33455"/>
    <w:rsid w:val="448694B2"/>
    <w:rsid w:val="44BD3247"/>
    <w:rsid w:val="45426D88"/>
    <w:rsid w:val="45B486F8"/>
    <w:rsid w:val="45DF6314"/>
    <w:rsid w:val="464CDB90"/>
    <w:rsid w:val="464D2598"/>
    <w:rsid w:val="46670132"/>
    <w:rsid w:val="469BF29B"/>
    <w:rsid w:val="46C32E02"/>
    <w:rsid w:val="46EF9FBE"/>
    <w:rsid w:val="470F980A"/>
    <w:rsid w:val="478A3A5C"/>
    <w:rsid w:val="485BEFDE"/>
    <w:rsid w:val="488617CE"/>
    <w:rsid w:val="493C3606"/>
    <w:rsid w:val="49911D6E"/>
    <w:rsid w:val="4A74F6DB"/>
    <w:rsid w:val="4B000E21"/>
    <w:rsid w:val="4B3C1110"/>
    <w:rsid w:val="4BE37846"/>
    <w:rsid w:val="4C2B4455"/>
    <w:rsid w:val="4C3E558A"/>
    <w:rsid w:val="4C79D12F"/>
    <w:rsid w:val="4CA54AA6"/>
    <w:rsid w:val="4DB353F8"/>
    <w:rsid w:val="4EDB06C8"/>
    <w:rsid w:val="4F5ADB41"/>
    <w:rsid w:val="504F567C"/>
    <w:rsid w:val="51170FB9"/>
    <w:rsid w:val="5147E8F1"/>
    <w:rsid w:val="52FCEBC7"/>
    <w:rsid w:val="534CACF2"/>
    <w:rsid w:val="5420AF77"/>
    <w:rsid w:val="54EB755D"/>
    <w:rsid w:val="54F8D108"/>
    <w:rsid w:val="554111BA"/>
    <w:rsid w:val="55A226F6"/>
    <w:rsid w:val="55BE3FF5"/>
    <w:rsid w:val="55D01E03"/>
    <w:rsid w:val="56FBB61D"/>
    <w:rsid w:val="58EF5FB3"/>
    <w:rsid w:val="591F3D1E"/>
    <w:rsid w:val="59E30D37"/>
    <w:rsid w:val="5A11AAC0"/>
    <w:rsid w:val="5ADA34DC"/>
    <w:rsid w:val="5B0DE8DF"/>
    <w:rsid w:val="5C580BBC"/>
    <w:rsid w:val="5CBF6F63"/>
    <w:rsid w:val="5E2F74F9"/>
    <w:rsid w:val="5E972837"/>
    <w:rsid w:val="5EBACF40"/>
    <w:rsid w:val="5EF67614"/>
    <w:rsid w:val="5F8FB10A"/>
    <w:rsid w:val="5FA12F42"/>
    <w:rsid w:val="6052493F"/>
    <w:rsid w:val="607C5DC2"/>
    <w:rsid w:val="6105BE1B"/>
    <w:rsid w:val="610DB2BE"/>
    <w:rsid w:val="6177DED7"/>
    <w:rsid w:val="61BCF7EC"/>
    <w:rsid w:val="61F730F2"/>
    <w:rsid w:val="61FC810A"/>
    <w:rsid w:val="622E794A"/>
    <w:rsid w:val="625B426F"/>
    <w:rsid w:val="62B4E01D"/>
    <w:rsid w:val="62DE1F50"/>
    <w:rsid w:val="631114D3"/>
    <w:rsid w:val="635730B4"/>
    <w:rsid w:val="6376A717"/>
    <w:rsid w:val="6395A0B9"/>
    <w:rsid w:val="6398F0F2"/>
    <w:rsid w:val="642C631A"/>
    <w:rsid w:val="64743496"/>
    <w:rsid w:val="650C10F1"/>
    <w:rsid w:val="657456F2"/>
    <w:rsid w:val="65CC3945"/>
    <w:rsid w:val="660FB7F7"/>
    <w:rsid w:val="661754DB"/>
    <w:rsid w:val="671D0FDA"/>
    <w:rsid w:val="67771862"/>
    <w:rsid w:val="6790B4EB"/>
    <w:rsid w:val="6818AF5F"/>
    <w:rsid w:val="6824B281"/>
    <w:rsid w:val="684DF9AF"/>
    <w:rsid w:val="6890DE24"/>
    <w:rsid w:val="68E8A95B"/>
    <w:rsid w:val="68F12AB8"/>
    <w:rsid w:val="69401F81"/>
    <w:rsid w:val="6A36ED68"/>
    <w:rsid w:val="6A557C45"/>
    <w:rsid w:val="6AECACCD"/>
    <w:rsid w:val="6B57109A"/>
    <w:rsid w:val="6B652842"/>
    <w:rsid w:val="6B65A7AF"/>
    <w:rsid w:val="6BC461F6"/>
    <w:rsid w:val="6C3E2FB8"/>
    <w:rsid w:val="6C860CA9"/>
    <w:rsid w:val="6C98BC05"/>
    <w:rsid w:val="6CCD8654"/>
    <w:rsid w:val="6D4DEA94"/>
    <w:rsid w:val="6D8C2965"/>
    <w:rsid w:val="6DEEF7C1"/>
    <w:rsid w:val="6E572DEF"/>
    <w:rsid w:val="6EA70053"/>
    <w:rsid w:val="6F16B8D8"/>
    <w:rsid w:val="6F699623"/>
    <w:rsid w:val="6F9FDCE2"/>
    <w:rsid w:val="6FFB8F62"/>
    <w:rsid w:val="7045613D"/>
    <w:rsid w:val="705E9A5A"/>
    <w:rsid w:val="70B185FB"/>
    <w:rsid w:val="7121E768"/>
    <w:rsid w:val="7195E5DF"/>
    <w:rsid w:val="71CFA602"/>
    <w:rsid w:val="7208B566"/>
    <w:rsid w:val="7266B26A"/>
    <w:rsid w:val="72745548"/>
    <w:rsid w:val="72A0593C"/>
    <w:rsid w:val="73035B8A"/>
    <w:rsid w:val="7351E4D7"/>
    <w:rsid w:val="73713E00"/>
    <w:rsid w:val="738ED5C0"/>
    <w:rsid w:val="73AC3D33"/>
    <w:rsid w:val="74A0F9CE"/>
    <w:rsid w:val="74D54EB6"/>
    <w:rsid w:val="75DFE270"/>
    <w:rsid w:val="75FB07C7"/>
    <w:rsid w:val="76BDD0E6"/>
    <w:rsid w:val="77A868DB"/>
    <w:rsid w:val="7837BF55"/>
    <w:rsid w:val="788F2AF4"/>
    <w:rsid w:val="78DF017E"/>
    <w:rsid w:val="793DE577"/>
    <w:rsid w:val="79556557"/>
    <w:rsid w:val="797A042B"/>
    <w:rsid w:val="79FAD799"/>
    <w:rsid w:val="79FD827C"/>
    <w:rsid w:val="7A192520"/>
    <w:rsid w:val="7A59311D"/>
    <w:rsid w:val="7AEFDAB7"/>
    <w:rsid w:val="7B000F1A"/>
    <w:rsid w:val="7B7BE4F2"/>
    <w:rsid w:val="7B810D61"/>
    <w:rsid w:val="7C6E2D2D"/>
    <w:rsid w:val="7C7D9BC0"/>
    <w:rsid w:val="7D47D34C"/>
    <w:rsid w:val="7DB4FE92"/>
    <w:rsid w:val="7E4BB592"/>
    <w:rsid w:val="7EA567BE"/>
    <w:rsid w:val="7EE605F6"/>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qFormat="1" w:unhideWhenUsed="0" w:uiPriority="0" w:semiHidden="0"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US" w:eastAsia="ja-JP" w:bidi="ar-SA"/>
    </w:rPr>
  </w:style>
  <w:style w:type="paragraph" w:styleId="2">
    <w:name w:val="heading 1"/>
    <w:basedOn w:val="1"/>
    <w:next w:val="1"/>
    <w:link w:val="63"/>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link w:val="64"/>
    <w:qFormat/>
    <w:uiPriority w:val="0"/>
    <w:pPr>
      <w:pBdr>
        <w:top w:val="none" w:color="auto" w:sz="0" w:space="0"/>
      </w:pBdr>
      <w:spacing w:before="180"/>
      <w:outlineLvl w:val="1"/>
    </w:pPr>
    <w:rPr>
      <w:sz w:val="32"/>
    </w:rPr>
  </w:style>
  <w:style w:type="paragraph" w:styleId="4">
    <w:name w:val="heading 3"/>
    <w:basedOn w:val="3"/>
    <w:next w:val="1"/>
    <w:link w:val="65"/>
    <w:qFormat/>
    <w:uiPriority w:val="0"/>
    <w:pPr>
      <w:spacing w:before="120"/>
      <w:outlineLvl w:val="2"/>
    </w:pPr>
    <w:rPr>
      <w:sz w:val="28"/>
    </w:rPr>
  </w:style>
  <w:style w:type="paragraph" w:styleId="5">
    <w:name w:val="heading 4"/>
    <w:basedOn w:val="4"/>
    <w:next w:val="1"/>
    <w:link w:val="66"/>
    <w:qFormat/>
    <w:uiPriority w:val="0"/>
    <w:pPr>
      <w:ind w:left="1418" w:hanging="1418"/>
      <w:outlineLvl w:val="3"/>
    </w:pPr>
    <w:rPr>
      <w:sz w:val="24"/>
    </w:rPr>
  </w:style>
  <w:style w:type="paragraph" w:styleId="6">
    <w:name w:val="heading 5"/>
    <w:basedOn w:val="5"/>
    <w:next w:val="1"/>
    <w:link w:val="67"/>
    <w:qFormat/>
    <w:uiPriority w:val="0"/>
    <w:pPr>
      <w:ind w:left="1701" w:hanging="1701"/>
      <w:outlineLvl w:val="4"/>
    </w:pPr>
    <w:rPr>
      <w:sz w:val="22"/>
    </w:rPr>
  </w:style>
  <w:style w:type="paragraph" w:styleId="7">
    <w:name w:val="heading 6"/>
    <w:basedOn w:val="8"/>
    <w:next w:val="1"/>
    <w:link w:val="68"/>
    <w:qFormat/>
    <w:uiPriority w:val="0"/>
    <w:pPr>
      <w:outlineLvl w:val="5"/>
    </w:pPr>
  </w:style>
  <w:style w:type="paragraph" w:styleId="9">
    <w:name w:val="heading 7"/>
    <w:basedOn w:val="8"/>
    <w:next w:val="1"/>
    <w:link w:val="69"/>
    <w:qFormat/>
    <w:uiPriority w:val="0"/>
    <w:pPr>
      <w:outlineLvl w:val="6"/>
    </w:pPr>
  </w:style>
  <w:style w:type="paragraph" w:styleId="10">
    <w:name w:val="heading 8"/>
    <w:basedOn w:val="2"/>
    <w:next w:val="1"/>
    <w:link w:val="70"/>
    <w:qFormat/>
    <w:uiPriority w:val="0"/>
    <w:pPr>
      <w:ind w:left="0" w:firstLine="0"/>
      <w:outlineLvl w:val="7"/>
    </w:pPr>
  </w:style>
  <w:style w:type="paragraph" w:styleId="11">
    <w:name w:val="heading 9"/>
    <w:basedOn w:val="10"/>
    <w:next w:val="1"/>
    <w:link w:val="71"/>
    <w:qFormat/>
    <w:uiPriority w:val="0"/>
    <w:pPr>
      <w:outlineLvl w:val="8"/>
    </w:pPr>
  </w:style>
  <w:style w:type="character" w:default="1" w:styleId="52">
    <w:name w:val="Default Paragraph Font"/>
    <w:semiHidden/>
    <w:unhideWhenUsed/>
    <w:uiPriority w:val="1"/>
  </w:style>
  <w:style w:type="table" w:default="1" w:styleId="6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85"/>
    <w:qFormat/>
    <w:uiPriority w:val="0"/>
    <w:rPr>
      <w:b/>
      <w:bCs/>
    </w:rPr>
  </w:style>
  <w:style w:type="paragraph" w:styleId="16">
    <w:name w:val="annotation text"/>
    <w:basedOn w:val="1"/>
    <w:link w:val="84"/>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4">
    <w:name w:val="List Number 2"/>
    <w:basedOn w:val="25"/>
    <w:qFormat/>
    <w:uiPriority w:val="0"/>
    <w:pPr>
      <w:numPr>
        <w:numId w:val="1"/>
      </w:numPr>
    </w:pPr>
  </w:style>
  <w:style w:type="paragraph" w:styleId="25">
    <w:name w:val="List Number"/>
    <w:basedOn w:val="14"/>
    <w:qFormat/>
    <w:uiPriority w:val="0"/>
    <w:pPr>
      <w:numPr>
        <w:ilvl w:val="0"/>
        <w:numId w:val="2"/>
      </w:numPr>
    </w:pPr>
  </w:style>
  <w:style w:type="paragraph" w:styleId="26">
    <w:name w:val="List Bullet 4"/>
    <w:basedOn w:val="27"/>
    <w:qFormat/>
    <w:uiPriority w:val="0"/>
    <w:pPr>
      <w:numPr>
        <w:numId w:val="3"/>
      </w:numPr>
    </w:pPr>
  </w:style>
  <w:style w:type="paragraph" w:styleId="27">
    <w:name w:val="List Bullet 3"/>
    <w:basedOn w:val="28"/>
    <w:qFormat/>
    <w:uiPriority w:val="0"/>
    <w:pPr>
      <w:numPr>
        <w:numId w:val="4"/>
      </w:numPr>
    </w:pPr>
  </w:style>
  <w:style w:type="paragraph" w:styleId="28">
    <w:name w:val="List Bullet 2"/>
    <w:basedOn w:val="29"/>
    <w:qFormat/>
    <w:uiPriority w:val="0"/>
    <w:pPr>
      <w:numPr>
        <w:numId w:val="5"/>
      </w:numPr>
    </w:pPr>
  </w:style>
  <w:style w:type="paragraph" w:styleId="29">
    <w:name w:val="List Bullet"/>
    <w:basedOn w:val="14"/>
    <w:qFormat/>
    <w:uiPriority w:val="0"/>
    <w:pPr>
      <w:numPr>
        <w:ilvl w:val="0"/>
        <w:numId w:val="6"/>
      </w:numPr>
    </w:pPr>
  </w:style>
  <w:style w:type="paragraph" w:styleId="30">
    <w:name w:val="caption"/>
    <w:basedOn w:val="1"/>
    <w:next w:val="1"/>
    <w:qFormat/>
    <w:uiPriority w:val="0"/>
    <w:pPr>
      <w:spacing w:before="120" w:after="120"/>
    </w:pPr>
    <w:rPr>
      <w:b/>
      <w:lang w:eastAsia="en-GB"/>
    </w:rPr>
  </w:style>
  <w:style w:type="paragraph" w:styleId="31">
    <w:name w:val="Document Map"/>
    <w:basedOn w:val="1"/>
    <w:link w:val="73"/>
    <w:qFormat/>
    <w:uiPriority w:val="0"/>
    <w:pPr>
      <w:shd w:val="clear" w:color="auto" w:fill="000080"/>
    </w:pPr>
    <w:rPr>
      <w:rFonts w:ascii="Tahoma" w:hAnsi="Tahoma" w:cs="Tahoma"/>
    </w:rPr>
  </w:style>
  <w:style w:type="paragraph" w:styleId="32">
    <w:name w:val="Body Text"/>
    <w:basedOn w:val="1"/>
    <w:link w:val="83"/>
    <w:qFormat/>
    <w:uiPriority w:val="0"/>
    <w:pPr>
      <w:spacing w:after="120"/>
      <w:jc w:val="both"/>
    </w:pPr>
    <w:rPr>
      <w:rFonts w:ascii="Arial" w:hAnsi="Arial"/>
      <w:lang w:eastAsia="zh-CN"/>
    </w:rPr>
  </w:style>
  <w:style w:type="paragraph" w:styleId="33">
    <w:name w:val="List Number 3"/>
    <w:basedOn w:val="24"/>
    <w:qFormat/>
    <w:uiPriority w:val="0"/>
    <w:pPr>
      <w:numPr>
        <w:numId w:val="7"/>
      </w:numPr>
      <w:contextualSpacing/>
    </w:pPr>
  </w:style>
  <w:style w:type="paragraph" w:styleId="34">
    <w:name w:val="List Continue"/>
    <w:basedOn w:val="1"/>
    <w:qFormat/>
    <w:uiPriority w:val="0"/>
    <w:pPr>
      <w:spacing w:after="120"/>
      <w:ind w:left="283"/>
      <w:contextualSpacing/>
    </w:pPr>
    <w:rPr>
      <w:rFonts w:ascii="Arial" w:hAnsi="Arial"/>
    </w:rPr>
  </w:style>
  <w:style w:type="paragraph" w:styleId="3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eastAsiaTheme="minorEastAsia"/>
      <w:i/>
      <w:iCs/>
      <w:color w:val="4472C4" w:themeColor="accent1"/>
      <w14:textFill>
        <w14:solidFill>
          <w14:schemeClr w14:val="accent1"/>
        </w14:solidFill>
      </w14:textFill>
    </w:rPr>
  </w:style>
  <w:style w:type="paragraph" w:styleId="36">
    <w:name w:val="Plain Text"/>
    <w:basedOn w:val="1"/>
    <w:link w:val="140"/>
    <w:qFormat/>
    <w:uiPriority w:val="0"/>
    <w:rPr>
      <w:rFonts w:ascii="Courier New" w:hAnsi="Courier New"/>
      <w:lang w:val="nb-NO"/>
    </w:rPr>
  </w:style>
  <w:style w:type="paragraph" w:styleId="37">
    <w:name w:val="List Bullet 5"/>
    <w:basedOn w:val="26"/>
    <w:qFormat/>
    <w:uiPriority w:val="0"/>
    <w:pPr>
      <w:numPr>
        <w:numId w:val="8"/>
      </w:numPr>
    </w:pPr>
  </w:style>
  <w:style w:type="paragraph" w:styleId="38">
    <w:name w:val="toc 8"/>
    <w:basedOn w:val="23"/>
    <w:next w:val="1"/>
    <w:qFormat/>
    <w:uiPriority w:val="39"/>
    <w:pPr>
      <w:spacing w:before="180"/>
      <w:ind w:left="2693" w:hanging="2693"/>
    </w:pPr>
    <w:rPr>
      <w:b/>
    </w:rPr>
  </w:style>
  <w:style w:type="paragraph" w:styleId="39">
    <w:name w:val="Balloon Text"/>
    <w:basedOn w:val="1"/>
    <w:link w:val="82"/>
    <w:qFormat/>
    <w:uiPriority w:val="0"/>
    <w:pPr>
      <w:spacing w:after="0"/>
    </w:pPr>
    <w:rPr>
      <w:rFonts w:ascii="Segoe UI" w:hAnsi="Segoe UI" w:cs="Segoe UI"/>
      <w:sz w:val="18"/>
      <w:szCs w:val="18"/>
    </w:rPr>
  </w:style>
  <w:style w:type="paragraph" w:styleId="40">
    <w:name w:val="footer"/>
    <w:basedOn w:val="41"/>
    <w:link w:val="80"/>
    <w:qFormat/>
    <w:uiPriority w:val="0"/>
    <w:pPr>
      <w:jc w:val="center"/>
    </w:pPr>
    <w:rPr>
      <w:i/>
    </w:rPr>
  </w:style>
  <w:style w:type="paragraph" w:styleId="41">
    <w:name w:val="header"/>
    <w:link w:val="7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2">
    <w:name w:val="index heading"/>
    <w:basedOn w:val="1"/>
    <w:next w:val="1"/>
    <w:qFormat/>
    <w:uiPriority w:val="0"/>
    <w:pPr>
      <w:pBdr>
        <w:top w:val="single" w:color="auto" w:sz="12" w:space="0"/>
      </w:pBdr>
      <w:spacing w:before="360" w:after="240"/>
    </w:pPr>
    <w:rPr>
      <w:b/>
      <w:i/>
      <w:sz w:val="26"/>
      <w:lang w:eastAsia="en-GB"/>
    </w:rPr>
  </w:style>
  <w:style w:type="paragraph" w:styleId="43">
    <w:name w:val="footnote text"/>
    <w:basedOn w:val="1"/>
    <w:link w:val="75"/>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able of figures"/>
    <w:basedOn w:val="32"/>
    <w:next w:val="1"/>
    <w:qFormat/>
    <w:uiPriority w:val="99"/>
    <w:pPr>
      <w:ind w:left="1701" w:hanging="1701"/>
      <w:jc w:val="left"/>
    </w:pPr>
    <w:rPr>
      <w:b/>
    </w:rPr>
  </w:style>
  <w:style w:type="paragraph" w:styleId="47">
    <w:name w:val="toc 9"/>
    <w:basedOn w:val="38"/>
    <w:next w:val="1"/>
    <w:qFormat/>
    <w:uiPriority w:val="39"/>
    <w:pPr>
      <w:ind w:left="1418" w:hanging="1418"/>
    </w:pPr>
  </w:style>
  <w:style w:type="paragraph" w:styleId="48">
    <w:name w:val="List Continue 2"/>
    <w:basedOn w:val="1"/>
    <w:qFormat/>
    <w:uiPriority w:val="0"/>
    <w:pPr>
      <w:spacing w:after="120"/>
      <w:ind w:left="566"/>
      <w:contextualSpacing/>
    </w:pPr>
    <w:rPr>
      <w:rFonts w:ascii="Arial" w:hAnsi="Arial"/>
    </w:rPr>
  </w:style>
  <w:style w:type="paragraph" w:styleId="49">
    <w:name w:val="Normal (Web)"/>
    <w:basedOn w:val="1"/>
    <w:unhideWhenUsed/>
    <w:qFormat/>
    <w:uiPriority w:val="99"/>
    <w:pPr>
      <w:spacing w:before="100" w:beforeAutospacing="1" w:after="100" w:afterAutospacing="1"/>
    </w:pPr>
    <w:rPr>
      <w:sz w:val="24"/>
      <w:szCs w:val="24"/>
    </w:rPr>
  </w:style>
  <w:style w:type="paragraph" w:styleId="50">
    <w:name w:val="index 1"/>
    <w:basedOn w:val="1"/>
    <w:next w:val="1"/>
    <w:qFormat/>
    <w:uiPriority w:val="0"/>
    <w:pPr>
      <w:keepLines/>
      <w:spacing w:after="0"/>
    </w:pPr>
  </w:style>
  <w:style w:type="paragraph" w:styleId="51">
    <w:name w:val="index 2"/>
    <w:basedOn w:val="50"/>
    <w:next w:val="1"/>
    <w:qFormat/>
    <w:uiPriority w:val="0"/>
    <w:pPr>
      <w:ind w:left="284"/>
    </w:p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unhideWhenUsed/>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HTML Code"/>
    <w:unhideWhenUsed/>
    <w:qFormat/>
    <w:uiPriority w:val="99"/>
    <w:rPr>
      <w:rFonts w:ascii="Courier New" w:hAnsi="Courier New" w:eastAsia="Times New Roman" w:cs="Courier New"/>
      <w:sz w:val="20"/>
      <w:szCs w:val="20"/>
    </w:rPr>
  </w:style>
  <w:style w:type="character" w:styleId="59">
    <w:name w:val="annotation reference"/>
    <w:qFormat/>
    <w:uiPriority w:val="99"/>
    <w:rPr>
      <w:sz w:val="16"/>
      <w:szCs w:val="16"/>
    </w:rPr>
  </w:style>
  <w:style w:type="character" w:styleId="60">
    <w:name w:val="footnote reference"/>
    <w:qFormat/>
    <w:uiPriority w:val="0"/>
    <w:rPr>
      <w:b/>
      <w:position w:val="6"/>
      <w:sz w:val="16"/>
    </w:rPr>
  </w:style>
  <w:style w:type="table" w:styleId="62">
    <w:name w:val="Table Grid"/>
    <w:basedOn w:val="61"/>
    <w:qFormat/>
    <w:uiPriority w:val="39"/>
    <w:rPr>
      <w:rFonts w:ascii="Calibri" w:hAnsi="Calibri" w:eastAsia="Calibri"/>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3">
    <w:name w:val="Heading 1 Char"/>
    <w:basedOn w:val="52"/>
    <w:link w:val="2"/>
    <w:qFormat/>
    <w:uiPriority w:val="0"/>
    <w:rPr>
      <w:rFonts w:ascii="Arial" w:hAnsi="Arial" w:eastAsia="Times New Roman" w:cs="Times New Roman"/>
      <w:sz w:val="36"/>
      <w:szCs w:val="20"/>
      <w:lang w:val="en-GB" w:eastAsia="ja-JP"/>
    </w:rPr>
  </w:style>
  <w:style w:type="character" w:customStyle="1" w:styleId="64">
    <w:name w:val="Heading 2 Char"/>
    <w:basedOn w:val="52"/>
    <w:link w:val="3"/>
    <w:qFormat/>
    <w:uiPriority w:val="0"/>
    <w:rPr>
      <w:rFonts w:ascii="Arial" w:hAnsi="Arial" w:eastAsia="Times New Roman" w:cs="Times New Roman"/>
      <w:sz w:val="32"/>
      <w:szCs w:val="20"/>
      <w:lang w:val="en-GB" w:eastAsia="ja-JP"/>
    </w:rPr>
  </w:style>
  <w:style w:type="character" w:customStyle="1" w:styleId="65">
    <w:name w:val="Heading 3 Char"/>
    <w:basedOn w:val="52"/>
    <w:link w:val="4"/>
    <w:qFormat/>
    <w:uiPriority w:val="0"/>
    <w:rPr>
      <w:rFonts w:ascii="Arial" w:hAnsi="Arial" w:eastAsia="Times New Roman" w:cs="Times New Roman"/>
      <w:sz w:val="28"/>
      <w:szCs w:val="20"/>
      <w:lang w:val="en-GB" w:eastAsia="ja-JP"/>
    </w:rPr>
  </w:style>
  <w:style w:type="character" w:customStyle="1" w:styleId="66">
    <w:name w:val="Heading 4 Char"/>
    <w:basedOn w:val="52"/>
    <w:link w:val="5"/>
    <w:qFormat/>
    <w:uiPriority w:val="0"/>
    <w:rPr>
      <w:rFonts w:ascii="Arial" w:hAnsi="Arial" w:eastAsia="Times New Roman" w:cs="Times New Roman"/>
      <w:sz w:val="24"/>
      <w:szCs w:val="20"/>
      <w:lang w:val="en-GB" w:eastAsia="ja-JP"/>
    </w:rPr>
  </w:style>
  <w:style w:type="character" w:customStyle="1" w:styleId="67">
    <w:name w:val="Heading 5 Char"/>
    <w:basedOn w:val="52"/>
    <w:link w:val="6"/>
    <w:qFormat/>
    <w:uiPriority w:val="0"/>
    <w:rPr>
      <w:rFonts w:ascii="Arial" w:hAnsi="Arial" w:eastAsia="Times New Roman" w:cs="Times New Roman"/>
      <w:szCs w:val="20"/>
      <w:lang w:val="en-GB" w:eastAsia="ja-JP"/>
    </w:rPr>
  </w:style>
  <w:style w:type="character" w:customStyle="1" w:styleId="68">
    <w:name w:val="Heading 6 Char"/>
    <w:basedOn w:val="52"/>
    <w:link w:val="7"/>
    <w:qFormat/>
    <w:uiPriority w:val="0"/>
    <w:rPr>
      <w:rFonts w:ascii="Arial" w:hAnsi="Arial" w:eastAsia="Times New Roman" w:cs="Times New Roman"/>
      <w:sz w:val="20"/>
      <w:szCs w:val="20"/>
      <w:lang w:val="en-GB" w:eastAsia="ja-JP"/>
    </w:rPr>
  </w:style>
  <w:style w:type="character" w:customStyle="1" w:styleId="69">
    <w:name w:val="Heading 7 Char"/>
    <w:basedOn w:val="52"/>
    <w:link w:val="9"/>
    <w:qFormat/>
    <w:uiPriority w:val="0"/>
    <w:rPr>
      <w:rFonts w:ascii="Arial" w:hAnsi="Arial" w:eastAsia="Times New Roman" w:cs="Times New Roman"/>
      <w:sz w:val="20"/>
      <w:szCs w:val="20"/>
      <w:lang w:val="en-GB" w:eastAsia="ja-JP"/>
    </w:rPr>
  </w:style>
  <w:style w:type="character" w:customStyle="1" w:styleId="70">
    <w:name w:val="Heading 8 Char"/>
    <w:basedOn w:val="52"/>
    <w:link w:val="10"/>
    <w:qFormat/>
    <w:uiPriority w:val="0"/>
    <w:rPr>
      <w:rFonts w:ascii="Arial" w:hAnsi="Arial" w:eastAsia="Times New Roman" w:cs="Times New Roman"/>
      <w:sz w:val="36"/>
      <w:szCs w:val="20"/>
      <w:lang w:val="en-GB" w:eastAsia="ja-JP"/>
    </w:rPr>
  </w:style>
  <w:style w:type="character" w:customStyle="1" w:styleId="71">
    <w:name w:val="Heading 9 Char"/>
    <w:basedOn w:val="52"/>
    <w:link w:val="11"/>
    <w:qFormat/>
    <w:uiPriority w:val="0"/>
    <w:rPr>
      <w:rFonts w:ascii="Arial" w:hAnsi="Arial" w:eastAsia="Times New Roman" w:cs="Times New Roman"/>
      <w:sz w:val="36"/>
      <w:szCs w:val="20"/>
      <w:lang w:val="en-GB" w:eastAsia="ja-JP"/>
    </w:rPr>
  </w:style>
  <w:style w:type="paragraph" w:customStyle="1" w:styleId="72">
    <w:name w:val="Figure"/>
    <w:basedOn w:val="1"/>
    <w:next w:val="30"/>
    <w:qFormat/>
    <w:uiPriority w:val="0"/>
    <w:pPr>
      <w:keepNext/>
      <w:keepLines/>
      <w:spacing w:before="180"/>
      <w:jc w:val="center"/>
    </w:pPr>
  </w:style>
  <w:style w:type="character" w:customStyle="1" w:styleId="73">
    <w:name w:val="Document Map Char"/>
    <w:basedOn w:val="52"/>
    <w:link w:val="31"/>
    <w:qFormat/>
    <w:uiPriority w:val="0"/>
    <w:rPr>
      <w:rFonts w:ascii="Tahoma" w:hAnsi="Tahoma" w:eastAsia="Times New Roman" w:cs="Tahoma"/>
      <w:sz w:val="20"/>
      <w:szCs w:val="20"/>
      <w:shd w:val="clear" w:color="auto" w:fill="000080"/>
      <w:lang w:eastAsia="ja-JP"/>
    </w:rPr>
  </w:style>
  <w:style w:type="character" w:customStyle="1" w:styleId="74">
    <w:name w:val="Header Char"/>
    <w:basedOn w:val="52"/>
    <w:link w:val="41"/>
    <w:qFormat/>
    <w:uiPriority w:val="0"/>
    <w:rPr>
      <w:rFonts w:ascii="Arial" w:hAnsi="Arial" w:eastAsia="Times New Roman" w:cs="Times New Roman"/>
      <w:b/>
      <w:sz w:val="18"/>
      <w:szCs w:val="20"/>
      <w:lang w:val="en-GB" w:eastAsia="ja-JP"/>
    </w:rPr>
  </w:style>
  <w:style w:type="character" w:customStyle="1" w:styleId="75">
    <w:name w:val="Footnote Text Char"/>
    <w:basedOn w:val="52"/>
    <w:link w:val="43"/>
    <w:qFormat/>
    <w:uiPriority w:val="0"/>
    <w:rPr>
      <w:rFonts w:ascii="Times New Roman" w:hAnsi="Times New Roman" w:eastAsia="Times New Roman" w:cs="Times New Roman"/>
      <w:sz w:val="16"/>
      <w:szCs w:val="20"/>
      <w:lang w:eastAsia="ja-JP"/>
    </w:rPr>
  </w:style>
  <w:style w:type="paragraph" w:customStyle="1" w:styleId="76">
    <w:name w:val="3GPP_Header"/>
    <w:basedOn w:val="32"/>
    <w:qFormat/>
    <w:uiPriority w:val="0"/>
    <w:pPr>
      <w:tabs>
        <w:tab w:val="left" w:pos="1701"/>
        <w:tab w:val="right" w:pos="9639"/>
      </w:tabs>
      <w:spacing w:after="240"/>
    </w:pPr>
    <w:rPr>
      <w:b/>
      <w:sz w:val="24"/>
    </w:rPr>
  </w:style>
  <w:style w:type="paragraph" w:customStyle="1" w:styleId="77">
    <w:name w:val="EQ"/>
    <w:basedOn w:val="1"/>
    <w:next w:val="1"/>
    <w:qFormat/>
    <w:uiPriority w:val="0"/>
    <w:pPr>
      <w:keepLines/>
      <w:tabs>
        <w:tab w:val="center" w:pos="4536"/>
        <w:tab w:val="right" w:pos="9072"/>
      </w:tabs>
    </w:pPr>
  </w:style>
  <w:style w:type="paragraph" w:customStyle="1" w:styleId="78">
    <w:name w:val="Editor's Note"/>
    <w:basedOn w:val="79"/>
    <w:link w:val="129"/>
    <w:qFormat/>
    <w:uiPriority w:val="0"/>
    <w:rPr>
      <w:color w:val="FF0000"/>
      <w:lang w:val="zh-CN" w:eastAsia="zh-CN"/>
    </w:rPr>
  </w:style>
  <w:style w:type="paragraph" w:customStyle="1" w:styleId="79">
    <w:name w:val="NO"/>
    <w:basedOn w:val="1"/>
    <w:link w:val="128"/>
    <w:qFormat/>
    <w:uiPriority w:val="0"/>
    <w:pPr>
      <w:keepLines/>
      <w:ind w:left="1135" w:hanging="851"/>
    </w:pPr>
  </w:style>
  <w:style w:type="character" w:customStyle="1" w:styleId="80">
    <w:name w:val="Footer Char"/>
    <w:basedOn w:val="52"/>
    <w:link w:val="40"/>
    <w:qFormat/>
    <w:uiPriority w:val="0"/>
    <w:rPr>
      <w:rFonts w:ascii="Arial" w:hAnsi="Arial" w:eastAsia="Times New Roman" w:cs="Times New Roman"/>
      <w:b/>
      <w:i/>
      <w:sz w:val="18"/>
      <w:szCs w:val="20"/>
      <w:lang w:val="en-GB" w:eastAsia="ja-JP"/>
    </w:rPr>
  </w:style>
  <w:style w:type="paragraph" w:customStyle="1" w:styleId="81">
    <w:name w:val="Reference"/>
    <w:basedOn w:val="32"/>
    <w:qFormat/>
    <w:uiPriority w:val="0"/>
    <w:pPr>
      <w:numPr>
        <w:ilvl w:val="0"/>
        <w:numId w:val="9"/>
      </w:numPr>
    </w:pPr>
  </w:style>
  <w:style w:type="character" w:customStyle="1" w:styleId="82">
    <w:name w:val="Balloon Text Char"/>
    <w:basedOn w:val="52"/>
    <w:link w:val="39"/>
    <w:qFormat/>
    <w:uiPriority w:val="0"/>
    <w:rPr>
      <w:rFonts w:ascii="Segoe UI" w:hAnsi="Segoe UI" w:eastAsia="Times New Roman" w:cs="Segoe UI"/>
      <w:sz w:val="18"/>
      <w:szCs w:val="18"/>
      <w:lang w:eastAsia="ja-JP"/>
    </w:rPr>
  </w:style>
  <w:style w:type="character" w:customStyle="1" w:styleId="83">
    <w:name w:val="Body Text Char"/>
    <w:basedOn w:val="52"/>
    <w:link w:val="32"/>
    <w:qFormat/>
    <w:uiPriority w:val="0"/>
    <w:rPr>
      <w:rFonts w:ascii="Arial" w:hAnsi="Arial" w:eastAsia="Times New Roman" w:cs="Times New Roman"/>
      <w:sz w:val="20"/>
      <w:szCs w:val="20"/>
      <w:lang w:eastAsia="zh-CN"/>
    </w:rPr>
  </w:style>
  <w:style w:type="character" w:customStyle="1" w:styleId="84">
    <w:name w:val="Comment Text Char"/>
    <w:basedOn w:val="52"/>
    <w:link w:val="16"/>
    <w:qFormat/>
    <w:uiPriority w:val="99"/>
    <w:rPr>
      <w:rFonts w:ascii="Times New Roman" w:hAnsi="Times New Roman" w:eastAsia="Times New Roman" w:cs="Times New Roman"/>
      <w:sz w:val="20"/>
      <w:szCs w:val="20"/>
      <w:lang w:eastAsia="ja-JP"/>
    </w:rPr>
  </w:style>
  <w:style w:type="character" w:customStyle="1" w:styleId="85">
    <w:name w:val="Comment Subject Char"/>
    <w:basedOn w:val="84"/>
    <w:link w:val="15"/>
    <w:qFormat/>
    <w:uiPriority w:val="0"/>
    <w:rPr>
      <w:rFonts w:ascii="Times New Roman" w:hAnsi="Times New Roman" w:eastAsia="Times New Roman" w:cs="Times New Roman"/>
      <w:b/>
      <w:bCs/>
      <w:sz w:val="20"/>
      <w:szCs w:val="20"/>
      <w:lang w:eastAsia="ja-JP"/>
    </w:rPr>
  </w:style>
  <w:style w:type="paragraph" w:customStyle="1" w:styleId="86">
    <w:name w:val="B1"/>
    <w:basedOn w:val="14"/>
    <w:link w:val="114"/>
    <w:qFormat/>
    <w:uiPriority w:val="0"/>
  </w:style>
  <w:style w:type="paragraph" w:customStyle="1" w:styleId="87">
    <w:name w:val="B2"/>
    <w:basedOn w:val="13"/>
    <w:link w:val="115"/>
    <w:qFormat/>
    <w:uiPriority w:val="0"/>
  </w:style>
  <w:style w:type="paragraph" w:customStyle="1" w:styleId="88">
    <w:name w:val="B3"/>
    <w:basedOn w:val="12"/>
    <w:link w:val="116"/>
    <w:qFormat/>
    <w:uiPriority w:val="0"/>
  </w:style>
  <w:style w:type="paragraph" w:customStyle="1" w:styleId="89">
    <w:name w:val="B4"/>
    <w:basedOn w:val="45"/>
    <w:link w:val="117"/>
    <w:qFormat/>
    <w:uiPriority w:val="0"/>
  </w:style>
  <w:style w:type="paragraph" w:customStyle="1" w:styleId="90">
    <w:name w:val="Proposal"/>
    <w:basedOn w:val="32"/>
    <w:qFormat/>
    <w:uiPriority w:val="0"/>
    <w:pPr>
      <w:numPr>
        <w:ilvl w:val="0"/>
        <w:numId w:val="10"/>
      </w:numPr>
      <w:tabs>
        <w:tab w:val="left" w:pos="1701"/>
      </w:tabs>
    </w:pPr>
    <w:rPr>
      <w:b/>
      <w:bCs/>
    </w:rPr>
  </w:style>
  <w:style w:type="paragraph" w:customStyle="1" w:styleId="91">
    <w:name w:val="B5"/>
    <w:basedOn w:val="44"/>
    <w:link w:val="118"/>
    <w:qFormat/>
    <w:uiPriority w:val="0"/>
  </w:style>
  <w:style w:type="paragraph" w:customStyle="1" w:styleId="92">
    <w:name w:val="EX"/>
    <w:basedOn w:val="1"/>
    <w:qFormat/>
    <w:uiPriority w:val="0"/>
    <w:pPr>
      <w:keepLines/>
      <w:ind w:left="1702" w:hanging="1418"/>
    </w:pPr>
  </w:style>
  <w:style w:type="paragraph" w:customStyle="1" w:styleId="93">
    <w:name w:val="EW"/>
    <w:basedOn w:val="92"/>
    <w:qFormat/>
    <w:uiPriority w:val="0"/>
    <w:pPr>
      <w:spacing w:after="0"/>
    </w:pPr>
  </w:style>
  <w:style w:type="paragraph" w:customStyle="1" w:styleId="94">
    <w:name w:val="TAL"/>
    <w:basedOn w:val="1"/>
    <w:link w:val="141"/>
    <w:qFormat/>
    <w:uiPriority w:val="0"/>
    <w:pPr>
      <w:keepNext/>
      <w:keepLines/>
      <w:spacing w:after="0"/>
    </w:pPr>
    <w:rPr>
      <w:rFonts w:ascii="Arial" w:hAnsi="Arial"/>
      <w:sz w:val="18"/>
      <w:lang w:val="zh-CN" w:eastAsia="zh-CN"/>
    </w:rPr>
  </w:style>
  <w:style w:type="paragraph" w:customStyle="1" w:styleId="95">
    <w:name w:val="TAC"/>
    <w:basedOn w:val="94"/>
    <w:link w:val="152"/>
    <w:qFormat/>
    <w:uiPriority w:val="0"/>
    <w:pPr>
      <w:jc w:val="center"/>
    </w:pPr>
  </w:style>
  <w:style w:type="paragraph" w:customStyle="1" w:styleId="96">
    <w:name w:val="TAH"/>
    <w:basedOn w:val="95"/>
    <w:link w:val="142"/>
    <w:qFormat/>
    <w:uiPriority w:val="0"/>
    <w:rPr>
      <w:b/>
    </w:rPr>
  </w:style>
  <w:style w:type="paragraph" w:customStyle="1" w:styleId="97">
    <w:name w:val="TAN"/>
    <w:basedOn w:val="94"/>
    <w:link w:val="155"/>
    <w:qFormat/>
    <w:uiPriority w:val="0"/>
    <w:pPr>
      <w:ind w:left="851" w:hanging="851"/>
    </w:pPr>
  </w:style>
  <w:style w:type="paragraph" w:customStyle="1" w:styleId="98">
    <w:name w:val="TAR"/>
    <w:basedOn w:val="94"/>
    <w:qFormat/>
    <w:uiPriority w:val="0"/>
    <w:pPr>
      <w:jc w:val="right"/>
    </w:pPr>
  </w:style>
  <w:style w:type="paragraph" w:customStyle="1" w:styleId="99">
    <w:name w:val="TH"/>
    <w:basedOn w:val="1"/>
    <w:link w:val="143"/>
    <w:qFormat/>
    <w:uiPriority w:val="0"/>
    <w:pPr>
      <w:keepNext/>
      <w:keepLines/>
      <w:spacing w:before="60"/>
      <w:jc w:val="center"/>
    </w:pPr>
    <w:rPr>
      <w:rFonts w:ascii="Arial" w:hAnsi="Arial"/>
      <w:b/>
      <w:lang w:val="zh-CN" w:eastAsia="zh-CN"/>
    </w:rPr>
  </w:style>
  <w:style w:type="paragraph" w:customStyle="1" w:styleId="100">
    <w:name w:val="TF"/>
    <w:basedOn w:val="99"/>
    <w:link w:val="147"/>
    <w:qFormat/>
    <w:uiPriority w:val="0"/>
    <w:pPr>
      <w:spacing w:before="240" w:after="120"/>
    </w:pPr>
  </w:style>
  <w:style w:type="paragraph" w:customStyle="1" w:styleId="101">
    <w:name w:val="TT"/>
    <w:basedOn w:val="2"/>
    <w:next w:val="1"/>
    <w:qFormat/>
    <w:uiPriority w:val="0"/>
    <w:pPr>
      <w:outlineLvl w:val="9"/>
    </w:pPr>
  </w:style>
  <w:style w:type="paragraph" w:customStyle="1" w:styleId="10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106">
    <w:name w:val="ZGSM"/>
    <w:qFormat/>
    <w:uiPriority w:val="0"/>
  </w:style>
  <w:style w:type="paragraph" w:customStyle="1" w:styleId="10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9">
    <w:name w:val="ZTD"/>
    <w:basedOn w:val="103"/>
    <w:qFormat/>
    <w:uiPriority w:val="0"/>
    <w:pPr>
      <w:framePr w:hRule="auto" w:y="852"/>
    </w:pPr>
    <w:rPr>
      <w:i w:val="0"/>
      <w:sz w:val="40"/>
    </w:rPr>
  </w:style>
  <w:style w:type="paragraph" w:customStyle="1" w:styleId="11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1">
    <w:name w:val="ZV"/>
    <w:basedOn w:val="110"/>
    <w:qFormat/>
    <w:uiPriority w:val="0"/>
    <w:pPr>
      <w:framePr w:y="16161"/>
    </w:pPr>
  </w:style>
  <w:style w:type="paragraph" w:customStyle="1" w:styleId="112">
    <w:name w:val="FP"/>
    <w:basedOn w:val="1"/>
    <w:qFormat/>
    <w:uiPriority w:val="0"/>
    <w:pPr>
      <w:spacing w:after="0"/>
    </w:pPr>
  </w:style>
  <w:style w:type="paragraph" w:customStyle="1" w:styleId="113">
    <w:name w:val="Observation"/>
    <w:basedOn w:val="90"/>
    <w:qFormat/>
    <w:uiPriority w:val="0"/>
    <w:pPr>
      <w:numPr>
        <w:ilvl w:val="0"/>
        <w:numId w:val="11"/>
      </w:numPr>
    </w:pPr>
    <w:rPr>
      <w:lang w:eastAsia="ja-JP"/>
    </w:rPr>
  </w:style>
  <w:style w:type="character" w:customStyle="1" w:styleId="114">
    <w:name w:val="B1 Char1"/>
    <w:link w:val="86"/>
    <w:qFormat/>
    <w:uiPriority w:val="0"/>
    <w:rPr>
      <w:rFonts w:ascii="Times New Roman" w:hAnsi="Times New Roman" w:eastAsia="Times New Roman" w:cs="Times New Roman"/>
      <w:sz w:val="20"/>
      <w:szCs w:val="20"/>
      <w:lang w:eastAsia="zh-CN"/>
    </w:rPr>
  </w:style>
  <w:style w:type="character" w:customStyle="1" w:styleId="115">
    <w:name w:val="B2 Char"/>
    <w:link w:val="87"/>
    <w:qFormat/>
    <w:uiPriority w:val="0"/>
    <w:rPr>
      <w:rFonts w:ascii="Times New Roman" w:hAnsi="Times New Roman" w:eastAsia="Times New Roman" w:cs="Times New Roman"/>
      <w:sz w:val="20"/>
      <w:szCs w:val="20"/>
      <w:lang w:eastAsia="ja-JP"/>
    </w:rPr>
  </w:style>
  <w:style w:type="character" w:customStyle="1" w:styleId="116">
    <w:name w:val="B3 Char2"/>
    <w:link w:val="88"/>
    <w:qFormat/>
    <w:uiPriority w:val="0"/>
    <w:rPr>
      <w:rFonts w:ascii="Times New Roman" w:hAnsi="Times New Roman" w:eastAsia="Times New Roman" w:cs="Times New Roman"/>
      <w:sz w:val="20"/>
      <w:szCs w:val="20"/>
      <w:lang w:eastAsia="ja-JP"/>
    </w:rPr>
  </w:style>
  <w:style w:type="character" w:customStyle="1" w:styleId="117">
    <w:name w:val="B4 Char"/>
    <w:link w:val="89"/>
    <w:qFormat/>
    <w:uiPriority w:val="0"/>
    <w:rPr>
      <w:rFonts w:ascii="Times New Roman" w:hAnsi="Times New Roman" w:eastAsia="Times New Roman" w:cs="Times New Roman"/>
      <w:sz w:val="20"/>
      <w:szCs w:val="20"/>
      <w:lang w:eastAsia="ja-JP"/>
    </w:rPr>
  </w:style>
  <w:style w:type="character" w:customStyle="1" w:styleId="118">
    <w:name w:val="B5 Char"/>
    <w:link w:val="91"/>
    <w:qFormat/>
    <w:uiPriority w:val="0"/>
    <w:rPr>
      <w:rFonts w:ascii="Times New Roman" w:hAnsi="Times New Roman" w:eastAsia="Times New Roman" w:cs="Times New Roman"/>
      <w:sz w:val="20"/>
      <w:szCs w:val="20"/>
      <w:lang w:eastAsia="ja-JP"/>
    </w:rPr>
  </w:style>
  <w:style w:type="paragraph" w:customStyle="1" w:styleId="119">
    <w:name w:val="B6"/>
    <w:basedOn w:val="91"/>
    <w:link w:val="120"/>
    <w:qFormat/>
    <w:uiPriority w:val="0"/>
    <w:pPr>
      <w:ind w:left="1985"/>
    </w:pPr>
  </w:style>
  <w:style w:type="character" w:customStyle="1" w:styleId="120">
    <w:name w:val="B6 Char"/>
    <w:link w:val="119"/>
    <w:qFormat/>
    <w:uiPriority w:val="0"/>
    <w:rPr>
      <w:rFonts w:ascii="Times New Roman" w:hAnsi="Times New Roman" w:eastAsia="Times New Roman" w:cs="Times New Roman"/>
      <w:sz w:val="20"/>
      <w:szCs w:val="20"/>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ascii="Times New Roman" w:hAnsi="Times New Roman" w:eastAsia="Times New Roman" w:cs="Times New Roman"/>
      <w:sz w:val="20"/>
      <w:szCs w:val="20"/>
      <w:lang w:eastAsia="ja-JP"/>
    </w:rPr>
  </w:style>
  <w:style w:type="paragraph" w:customStyle="1" w:styleId="123">
    <w:name w:val="B8"/>
    <w:basedOn w:val="121"/>
    <w:qFormat/>
    <w:uiPriority w:val="0"/>
    <w:pPr>
      <w:ind w:left="2552"/>
    </w:pPr>
  </w:style>
  <w:style w:type="paragraph" w:customStyle="1" w:styleId="124">
    <w:name w:val="CR Cover Page"/>
    <w:link w:val="125"/>
    <w:qFormat/>
    <w:uiPriority w:val="0"/>
    <w:pPr>
      <w:spacing w:after="120"/>
    </w:pPr>
    <w:rPr>
      <w:rFonts w:ascii="Arial" w:hAnsi="Arial" w:eastAsia="Times New Roman" w:cs="Times New Roman"/>
      <w:lang w:val="en-GB" w:eastAsia="ko-KR" w:bidi="ar-SA"/>
    </w:rPr>
  </w:style>
  <w:style w:type="character" w:customStyle="1" w:styleId="125">
    <w:name w:val="CR Cover Page Zchn"/>
    <w:link w:val="124"/>
    <w:qFormat/>
    <w:uiPriority w:val="0"/>
    <w:rPr>
      <w:rFonts w:ascii="Arial" w:hAnsi="Arial" w:eastAsia="Times New Roman" w:cs="Times New Roman"/>
      <w:sz w:val="20"/>
      <w:szCs w:val="20"/>
      <w:lang w:val="en-GB" w:eastAsia="ko-KR"/>
    </w:rPr>
  </w:style>
  <w:style w:type="paragraph" w:customStyle="1" w:styleId="126">
    <w:name w:val="Doc-text2"/>
    <w:basedOn w:val="1"/>
    <w:link w:val="127"/>
    <w:qFormat/>
    <w:uiPriority w:val="0"/>
    <w:pPr>
      <w:tabs>
        <w:tab w:val="left" w:pos="1622"/>
      </w:tabs>
      <w:spacing w:after="0"/>
      <w:ind w:left="1622" w:hanging="363"/>
    </w:pPr>
    <w:rPr>
      <w:rFonts w:ascii="Arial" w:hAnsi="Arial" w:eastAsia="MS Mincho"/>
      <w:szCs w:val="24"/>
      <w:lang w:val="zh-CN" w:eastAsia="zh-CN"/>
    </w:rPr>
  </w:style>
  <w:style w:type="character" w:customStyle="1" w:styleId="127">
    <w:name w:val="Doc-text2 Char"/>
    <w:link w:val="126"/>
    <w:qFormat/>
    <w:locked/>
    <w:uiPriority w:val="0"/>
    <w:rPr>
      <w:rFonts w:ascii="Arial" w:hAnsi="Arial" w:eastAsia="MS Mincho" w:cs="Times New Roman"/>
      <w:sz w:val="20"/>
      <w:szCs w:val="24"/>
      <w:lang w:val="zh-CN" w:eastAsia="zh-CN"/>
    </w:rPr>
  </w:style>
  <w:style w:type="character" w:customStyle="1" w:styleId="128">
    <w:name w:val="NO Char"/>
    <w:link w:val="79"/>
    <w:qFormat/>
    <w:uiPriority w:val="0"/>
    <w:rPr>
      <w:rFonts w:ascii="Times New Roman" w:hAnsi="Times New Roman" w:eastAsia="Times New Roman" w:cs="Times New Roman"/>
      <w:sz w:val="20"/>
      <w:szCs w:val="20"/>
      <w:lang w:eastAsia="ja-JP"/>
    </w:rPr>
  </w:style>
  <w:style w:type="character" w:customStyle="1" w:styleId="129">
    <w:name w:val="Editor's Note Char"/>
    <w:link w:val="78"/>
    <w:qFormat/>
    <w:uiPriority w:val="0"/>
    <w:rPr>
      <w:rFonts w:ascii="Times New Roman" w:hAnsi="Times New Roman" w:eastAsia="Times New Roman" w:cs="Times New Roman"/>
      <w:color w:val="FF0000"/>
      <w:sz w:val="20"/>
      <w:szCs w:val="20"/>
      <w:lang w:val="zh-CN" w:eastAsia="zh-CN"/>
    </w:rPr>
  </w:style>
  <w:style w:type="paragraph" w:customStyle="1" w:styleId="130">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31">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paragraph" w:customStyle="1" w:styleId="132">
    <w:name w:val="Guidance"/>
    <w:basedOn w:val="1"/>
    <w:qFormat/>
    <w:uiPriority w:val="0"/>
    <w:rPr>
      <w:i/>
      <w:color w:val="0000FF"/>
    </w:rPr>
  </w:style>
  <w:style w:type="paragraph" w:customStyle="1" w:styleId="13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4">
    <w:name w:val="List Paragraph1"/>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List Paragraph Char"/>
    <w:link w:val="134"/>
    <w:qFormat/>
    <w:locked/>
    <w:uiPriority w:val="34"/>
    <w:rPr>
      <w:rFonts w:ascii="Calibri" w:hAnsi="Calibri" w:eastAsia="Calibri" w:cs="Times New Roman"/>
      <w:lang w:val="zh-CN"/>
    </w:rPr>
  </w:style>
  <w:style w:type="paragraph" w:customStyle="1" w:styleId="136">
    <w:name w:val="NF"/>
    <w:basedOn w:val="79"/>
    <w:qFormat/>
    <w:uiPriority w:val="0"/>
    <w:pPr>
      <w:keepNext/>
      <w:spacing w:after="0"/>
    </w:pPr>
    <w:rPr>
      <w:rFonts w:ascii="Arial" w:hAnsi="Arial"/>
      <w:sz w:val="18"/>
    </w:rPr>
  </w:style>
  <w:style w:type="paragraph" w:customStyle="1" w:styleId="137">
    <w:name w:val="NW"/>
    <w:basedOn w:val="79"/>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cs="Times New Roman"/>
      <w:sz w:val="16"/>
      <w:szCs w:val="20"/>
      <w:shd w:val="clear" w:color="auto" w:fill="E6E6E6"/>
      <w:lang w:val="en-GB" w:eastAsia="sv-SE"/>
    </w:rPr>
  </w:style>
  <w:style w:type="character" w:customStyle="1" w:styleId="140">
    <w:name w:val="Plain Text Char"/>
    <w:basedOn w:val="52"/>
    <w:link w:val="36"/>
    <w:qFormat/>
    <w:uiPriority w:val="0"/>
    <w:rPr>
      <w:rFonts w:ascii="Courier New" w:hAnsi="Courier New" w:eastAsia="Times New Roman" w:cs="Times New Roman"/>
      <w:sz w:val="20"/>
      <w:szCs w:val="20"/>
      <w:lang w:val="nb-NO" w:eastAsia="ja-JP"/>
    </w:rPr>
  </w:style>
  <w:style w:type="character" w:customStyle="1" w:styleId="141">
    <w:name w:val="TAL Car"/>
    <w:link w:val="94"/>
    <w:qFormat/>
    <w:uiPriority w:val="0"/>
    <w:rPr>
      <w:rFonts w:ascii="Arial" w:hAnsi="Arial" w:eastAsia="Times New Roman" w:cs="Times New Roman"/>
      <w:sz w:val="18"/>
      <w:szCs w:val="20"/>
      <w:lang w:val="zh-CN" w:eastAsia="zh-CN"/>
    </w:rPr>
  </w:style>
  <w:style w:type="character" w:customStyle="1" w:styleId="142">
    <w:name w:val="TAH Car"/>
    <w:link w:val="96"/>
    <w:qFormat/>
    <w:locked/>
    <w:uiPriority w:val="0"/>
    <w:rPr>
      <w:rFonts w:ascii="Arial" w:hAnsi="Arial" w:eastAsia="Times New Roman" w:cs="Times New Roman"/>
      <w:b/>
      <w:sz w:val="18"/>
      <w:szCs w:val="20"/>
      <w:lang w:val="zh-CN" w:eastAsia="zh-CN"/>
    </w:rPr>
  </w:style>
  <w:style w:type="character" w:customStyle="1" w:styleId="143">
    <w:name w:val="TH Char"/>
    <w:link w:val="99"/>
    <w:qFormat/>
    <w:uiPriority w:val="0"/>
    <w:rPr>
      <w:rFonts w:ascii="Arial" w:hAnsi="Arial" w:eastAsia="Times New Roman" w:cs="Times New Roman"/>
      <w:b/>
      <w:sz w:val="20"/>
      <w:szCs w:val="20"/>
      <w:lang w:val="zh-CN" w:eastAsia="zh-CN"/>
    </w:rPr>
  </w:style>
  <w:style w:type="paragraph" w:customStyle="1" w:styleId="144">
    <w:name w:val="TAJ"/>
    <w:basedOn w:val="99"/>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cs="Times New Roman"/>
      <w:sz w:val="18"/>
      <w:szCs w:val="20"/>
      <w:lang w:val="zh-CN" w:eastAsia="zh-CN"/>
    </w:rPr>
  </w:style>
  <w:style w:type="character" w:customStyle="1" w:styleId="147">
    <w:name w:val="TF Char"/>
    <w:link w:val="100"/>
    <w:qFormat/>
    <w:uiPriority w:val="0"/>
    <w:rPr>
      <w:rFonts w:ascii="Arial" w:hAnsi="Arial" w:eastAsia="Times New Roman" w:cs="Times New Roman"/>
      <w:b/>
      <w:sz w:val="20"/>
      <w:szCs w:val="20"/>
      <w:lang w:val="zh-CN" w:eastAsia="zh-CN"/>
    </w:rPr>
  </w:style>
  <w:style w:type="character" w:customStyle="1" w:styleId="148">
    <w:name w:val="cs1-format"/>
    <w:basedOn w:val="52"/>
    <w:qFormat/>
    <w:uiPriority w:val="0"/>
  </w:style>
  <w:style w:type="character" w:customStyle="1" w:styleId="149">
    <w:name w:val="reference-accessdate"/>
    <w:basedOn w:val="52"/>
    <w:qFormat/>
    <w:uiPriority w:val="0"/>
  </w:style>
  <w:style w:type="character" w:customStyle="1" w:styleId="150">
    <w:name w:val="nowrap"/>
    <w:basedOn w:val="52"/>
    <w:qFormat/>
    <w:uiPriority w:val="0"/>
  </w:style>
  <w:style w:type="character" w:customStyle="1" w:styleId="151">
    <w:name w:val="Placeholder Text1"/>
    <w:basedOn w:val="52"/>
    <w:semiHidden/>
    <w:qFormat/>
    <w:uiPriority w:val="99"/>
    <w:rPr>
      <w:color w:val="808080"/>
    </w:rPr>
  </w:style>
  <w:style w:type="character" w:customStyle="1" w:styleId="152">
    <w:name w:val="TAC Char"/>
    <w:link w:val="95"/>
    <w:qFormat/>
    <w:locked/>
    <w:uiPriority w:val="0"/>
    <w:rPr>
      <w:rFonts w:ascii="Arial" w:hAnsi="Arial" w:eastAsia="Times New Roman" w:cs="Times New Roman"/>
      <w:sz w:val="18"/>
      <w:szCs w:val="20"/>
      <w:lang w:val="zh-CN" w:eastAsia="zh-CN"/>
    </w:rPr>
  </w:style>
  <w:style w:type="paragraph" w:customStyle="1" w:styleId="153">
    <w:name w:val="Revision1"/>
    <w:hidden/>
    <w:semiHidden/>
    <w:qFormat/>
    <w:uiPriority w:val="99"/>
    <w:rPr>
      <w:rFonts w:ascii="Times New Roman" w:hAnsi="Times New Roman" w:eastAsia="Times New Roman" w:cs="Times New Roman"/>
      <w:lang w:val="en-GB" w:eastAsia="ja-JP" w:bidi="ar-SA"/>
    </w:rPr>
  </w:style>
  <w:style w:type="paragraph" w:customStyle="1" w:styleId="154">
    <w:name w:val="Default"/>
    <w:qFormat/>
    <w:uiPriority w:val="0"/>
    <w:pPr>
      <w:autoSpaceDE w:val="0"/>
      <w:autoSpaceDN w:val="0"/>
      <w:adjustRightInd w:val="0"/>
    </w:pPr>
    <w:rPr>
      <w:rFonts w:ascii="Arial" w:hAnsi="Arial" w:cs="Arial" w:eastAsiaTheme="minorHAnsi"/>
      <w:color w:val="000000"/>
      <w:sz w:val="24"/>
      <w:szCs w:val="24"/>
      <w:lang w:val="en-US" w:eastAsia="en-US" w:bidi="ar-SA"/>
    </w:rPr>
  </w:style>
  <w:style w:type="character" w:customStyle="1" w:styleId="155">
    <w:name w:val="TAN Char"/>
    <w:link w:val="97"/>
    <w:qFormat/>
    <w:locked/>
    <w:uiPriority w:val="0"/>
    <w:rPr>
      <w:rFonts w:ascii="Arial" w:hAnsi="Arial" w:eastAsia="Times New Roman" w:cs="Times New Roman"/>
      <w:sz w:val="18"/>
      <w:szCs w:val="20"/>
      <w:lang w:val="zh-CN" w:eastAsia="zh-CN"/>
    </w:rPr>
  </w:style>
  <w:style w:type="paragraph" w:customStyle="1" w:styleId="156">
    <w:name w:val="FL"/>
    <w:basedOn w:val="1"/>
    <w:qFormat/>
    <w:uiPriority w:val="0"/>
    <w:pPr>
      <w:keepNext/>
      <w:keepLines/>
      <w:spacing w:before="60"/>
      <w:jc w:val="center"/>
    </w:pPr>
    <w:rPr>
      <w:rFonts w:ascii="Arial" w:hAnsi="Arial"/>
      <w:b/>
      <w:lang w:val="en-GB" w:eastAsia="en-US"/>
    </w:rPr>
  </w:style>
  <w:style w:type="paragraph" w:customStyle="1" w:styleId="157">
    <w:name w:val="TOC Heading1"/>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Theme="majorHAnsi" w:hAnsiTheme="majorHAnsi" w:eastAsiaTheme="majorEastAsia" w:cstheme="majorBidi"/>
      <w:color w:val="2F5597" w:themeColor="accent1" w:themeShade="BF"/>
      <w:sz w:val="32"/>
      <w:szCs w:val="32"/>
      <w:lang w:val="en-US" w:eastAsia="en-US"/>
    </w:rPr>
  </w:style>
  <w:style w:type="character" w:customStyle="1" w:styleId="158">
    <w:name w:val="Unresolved Mention"/>
    <w:basedOn w:val="52"/>
    <w:unhideWhenUsed/>
    <w:qFormat/>
    <w:uiPriority w:val="99"/>
    <w:rPr>
      <w:color w:val="605E5C"/>
      <w:shd w:val="clear" w:color="auto" w:fill="E1DFDD"/>
    </w:rPr>
  </w:style>
  <w:style w:type="character" w:customStyle="1" w:styleId="159">
    <w:name w:val="Mention"/>
    <w:basedOn w:val="52"/>
    <w:unhideWhenUsed/>
    <w:qFormat/>
    <w:uiPriority w:val="99"/>
    <w:rPr>
      <w:color w:val="2B579A"/>
      <w:shd w:val="clear" w:color="auto" w:fill="E1DFDD"/>
    </w:rPr>
  </w:style>
  <w:style w:type="paragraph" w:customStyle="1" w:styleId="160">
    <w:name w:val="IvD bodytext"/>
    <w:basedOn w:val="32"/>
    <w:link w:val="16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lang w:eastAsia="en-US"/>
    </w:rPr>
  </w:style>
  <w:style w:type="character" w:customStyle="1" w:styleId="161">
    <w:name w:val="IvD bodytext Char"/>
    <w:basedOn w:val="52"/>
    <w:link w:val="160"/>
    <w:qFormat/>
    <w:uiPriority w:val="0"/>
    <w:rPr>
      <w:rFonts w:ascii="Arial" w:hAnsi="Arial" w:eastAsia="宋体" w:cs="Times New Roman"/>
      <w:spacing w:val="2"/>
      <w:sz w:val="20"/>
      <w:szCs w:val="20"/>
    </w:rPr>
  </w:style>
  <w:style w:type="paragraph" w:customStyle="1" w:styleId="162">
    <w:name w:val="IvD Instructiontext"/>
    <w:basedOn w:val="32"/>
    <w:link w:val="16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character" w:customStyle="1" w:styleId="163">
    <w:name w:val="IvD Instructiontext Char"/>
    <w:link w:val="162"/>
    <w:qFormat/>
    <w:uiPriority w:val="99"/>
    <w:rPr>
      <w:rFonts w:ascii="Arial" w:hAnsi="Arial" w:eastAsia="宋体" w:cs="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64">
    <w:name w:val="Style Caption + Centered"/>
    <w:basedOn w:val="30"/>
    <w:qFormat/>
    <w:uiPriority w:val="0"/>
    <w:pPr>
      <w:keepNext/>
      <w:jc w:val="center"/>
    </w:pPr>
    <w:rPr>
      <w:rFonts w:ascii="Arial" w:hAnsi="Arial"/>
      <w:bCs/>
    </w:rPr>
  </w:style>
  <w:style w:type="table" w:customStyle="1" w:styleId="165">
    <w:name w:val="Table Grid Light1"/>
    <w:basedOn w:val="6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66">
    <w:name w:val="Table Grid7"/>
    <w:basedOn w:val="61"/>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6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oleObject" Target="embeddings/oleObject3.bin"/><Relationship Id="rId7" Type="http://schemas.openxmlformats.org/officeDocument/2006/relationships/image" Target="media/image2.wmf"/><Relationship Id="rId64" Type="http://schemas.openxmlformats.org/officeDocument/2006/relationships/fontTable" Target="fontTable.xml"/><Relationship Id="rId63" Type="http://schemas.openxmlformats.org/officeDocument/2006/relationships/customXml" Target="../customXml/item5.xml"/><Relationship Id="rId62" Type="http://schemas.openxmlformats.org/officeDocument/2006/relationships/customXml" Target="../customXml/item4.xml"/><Relationship Id="rId61" Type="http://schemas.openxmlformats.org/officeDocument/2006/relationships/customXml" Target="../customXml/item3.xml"/><Relationship Id="rId60" Type="http://schemas.openxmlformats.org/officeDocument/2006/relationships/customXml" Target="../customXml/item2.xml"/><Relationship Id="rId6" Type="http://schemas.openxmlformats.org/officeDocument/2006/relationships/oleObject" Target="embeddings/oleObject2.bin"/><Relationship Id="rId59" Type="http://schemas.openxmlformats.org/officeDocument/2006/relationships/numbering" Target="numbering.xml"/><Relationship Id="rId58" Type="http://schemas.openxmlformats.org/officeDocument/2006/relationships/customXml" Target="../customXml/item1.xml"/><Relationship Id="rId57" Type="http://schemas.openxmlformats.org/officeDocument/2006/relationships/image" Target="media/image33.png"/><Relationship Id="rId56" Type="http://schemas.openxmlformats.org/officeDocument/2006/relationships/image" Target="media/image32.png"/><Relationship Id="rId55" Type="http://schemas.openxmlformats.org/officeDocument/2006/relationships/image" Target="media/image31.png"/><Relationship Id="rId54" Type="http://schemas.openxmlformats.org/officeDocument/2006/relationships/image" Target="media/image30.png"/><Relationship Id="rId53" Type="http://schemas.openxmlformats.org/officeDocument/2006/relationships/image" Target="media/image29.png"/><Relationship Id="rId52" Type="http://schemas.openxmlformats.org/officeDocument/2006/relationships/image" Target="media/image28.png"/><Relationship Id="rId51" Type="http://schemas.openxmlformats.org/officeDocument/2006/relationships/image" Target="media/image27.emf"/><Relationship Id="rId50" Type="http://schemas.openxmlformats.org/officeDocument/2006/relationships/image" Target="media/image26.emf"/><Relationship Id="rId5" Type="http://schemas.openxmlformats.org/officeDocument/2006/relationships/image" Target="media/image1.wmf"/><Relationship Id="rId49" Type="http://schemas.openxmlformats.org/officeDocument/2006/relationships/image" Target="media/image25.png"/><Relationship Id="rId48" Type="http://schemas.openxmlformats.org/officeDocument/2006/relationships/image" Target="media/image24.emf"/><Relationship Id="rId47" Type="http://schemas.openxmlformats.org/officeDocument/2006/relationships/image" Target="media/image23.png"/><Relationship Id="rId46" Type="http://schemas.openxmlformats.org/officeDocument/2006/relationships/image" Target="media/image22.wmf"/><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image" Target="media/image21.wmf"/><Relationship Id="rId42" Type="http://schemas.openxmlformats.org/officeDocument/2006/relationships/oleObject" Target="embeddings/oleObject19.bin"/><Relationship Id="rId41" Type="http://schemas.openxmlformats.org/officeDocument/2006/relationships/image" Target="media/image20.wmf"/><Relationship Id="rId40" Type="http://schemas.openxmlformats.org/officeDocument/2006/relationships/oleObject" Target="embeddings/oleObject18.bin"/><Relationship Id="rId4" Type="http://schemas.openxmlformats.org/officeDocument/2006/relationships/oleObject" Target="embeddings/oleObject1.bin"/><Relationship Id="rId39" Type="http://schemas.openxmlformats.org/officeDocument/2006/relationships/image" Target="media/image19.wmf"/><Relationship Id="rId38" Type="http://schemas.openxmlformats.org/officeDocument/2006/relationships/oleObject" Target="embeddings/oleObject17.bin"/><Relationship Id="rId37" Type="http://schemas.openxmlformats.org/officeDocument/2006/relationships/image" Target="media/image18.wmf"/><Relationship Id="rId36" Type="http://schemas.openxmlformats.org/officeDocument/2006/relationships/oleObject" Target="embeddings/oleObject16.bin"/><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image" Target="media/image16.wmf"/><Relationship Id="rId32" Type="http://schemas.openxmlformats.org/officeDocument/2006/relationships/oleObject" Target="embeddings/oleObject14.bin"/><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002A6A-020E-4648-8DC9-C5B8805CC385}">
  <ds:schemaRefs/>
</ds:datastoreItem>
</file>

<file path=customXml/itemProps3.xml><?xml version="1.0" encoding="utf-8"?>
<ds:datastoreItem xmlns:ds="http://schemas.openxmlformats.org/officeDocument/2006/customXml" ds:itemID="{620C770C-47B9-40F0-AE3C-65C874F35B5F}">
  <ds:schemaRefs/>
</ds:datastoreItem>
</file>

<file path=customXml/itemProps4.xml><?xml version="1.0" encoding="utf-8"?>
<ds:datastoreItem xmlns:ds="http://schemas.openxmlformats.org/officeDocument/2006/customXml" ds:itemID="{C0064866-15C8-4E82-800E-FA249B931531}">
  <ds:schemaRefs/>
</ds:datastoreItem>
</file>

<file path=customXml/itemProps5.xml><?xml version="1.0" encoding="utf-8"?>
<ds:datastoreItem xmlns:ds="http://schemas.openxmlformats.org/officeDocument/2006/customXml" ds:itemID="{6B3AB6F6-4230-4F22-9E7F-F7784CA5C6B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3229</Words>
  <Characters>18409</Characters>
  <Lines>153</Lines>
  <Paragraphs>43</Paragraphs>
  <TotalTime>15</TotalTime>
  <ScaleCrop>false</ScaleCrop>
  <LinksUpToDate>false</LinksUpToDate>
  <CharactersWithSpaces>21595</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2020-10-14T00:01:00Z</dcterms:created>
  <dc:creator>eafsmeh</dc:creator>
  <cp:lastModifiedBy>Ziyang ZTE</cp:lastModifiedBy>
  <dcterms:modified xsi:type="dcterms:W3CDTF">2021-01-25T10:47:55Z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4c2be7b6-30c0-4b59-a968-4d4ead8b9f52</vt:lpwstr>
  </property>
  <property fmtid="{D5CDD505-2E9C-101B-9397-08002B2CF9AE}" pid="21" name="Order">
    <vt:r8>42364700</vt:r8>
  </property>
  <property fmtid="{D5CDD505-2E9C-101B-9397-08002B2CF9AE}" pid="22" name="xd_Signature">
    <vt:bool>false</vt:bool>
  </property>
  <property fmtid="{D5CDD505-2E9C-101B-9397-08002B2CF9AE}" pid="23" name="xd_ProgID">
    <vt:lpwstr/>
  </property>
  <property fmtid="{D5CDD505-2E9C-101B-9397-08002B2CF9AE}" pid="24" name="_dlc_DocId">
    <vt:lpwstr>5NUHHDQN7SK2-1476151046-423647</vt:lpwstr>
  </property>
  <property fmtid="{D5CDD505-2E9C-101B-9397-08002B2CF9AE}" pid="25" name="ComplianceAssetId">
    <vt:lpwstr/>
  </property>
  <property fmtid="{D5CDD505-2E9C-101B-9397-08002B2CF9AE}" pid="26" name="TemplateUrl">
    <vt:lpwstr/>
  </property>
  <property fmtid="{D5CDD505-2E9C-101B-9397-08002B2CF9AE}" pid="27" name="_dlc_DocIdUrl">
    <vt:lpwstr>https://ericsson.sharepoint.com/sites/star/_layouts/15/DocIdRedir.aspx?ID=5NUHHDQN7SK2-1476151046-423647, 5NUHHDQN7SK2-1476151046-423647</vt:lpwstr>
  </property>
  <property fmtid="{D5CDD505-2E9C-101B-9397-08002B2CF9AE}" pid="28" name="_SourceUrl">
    <vt:lpwstr/>
  </property>
  <property fmtid="{D5CDD505-2E9C-101B-9397-08002B2CF9AE}" pid="29" name="_SharedFileIndex">
    <vt:lpwstr/>
  </property>
  <property fmtid="{D5CDD505-2E9C-101B-9397-08002B2CF9AE}" pid="30" name="KSOProductBuildVer">
    <vt:lpwstr>2052-10.8.2.6990</vt:lpwstr>
  </property>
</Properties>
</file>